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E327DE" w:rsidRPr="00910346" w:rsidP="00B05742" w14:paraId="61B14D17" w14:textId="77777777">
      <w:pPr>
        <w:jc w:val="both"/>
        <w:rPr>
          <w:rFonts w:ascii="Arial Narrow" w:hAnsi="Arial Narrow"/>
          <w:sz w:val="24"/>
          <w:szCs w:val="24"/>
        </w:rPr>
      </w:pPr>
    </w:p>
    <w:p w:rsidR="009E3B8E" w:rsidRPr="00910346" w:rsidP="007A453D" w14:paraId="6F29D2CC" w14:textId="77777777">
      <w:pPr>
        <w:jc w:val="center"/>
        <w:rPr>
          <w:rFonts w:ascii="Arial Narrow" w:hAnsi="Arial Narrow"/>
          <w:b/>
          <w:bCs/>
          <w:sz w:val="24"/>
          <w:szCs w:val="24"/>
          <w:lang w:val="en-US"/>
        </w:rPr>
      </w:pPr>
    </w:p>
    <w:p w:rsidR="00E327DE" w:rsidRPr="00CB7B3B" w:rsidP="007A453D" w14:paraId="68BAFC4F" w14:textId="3288DEB6">
      <w:pPr>
        <w:jc w:val="center"/>
        <w:rPr>
          <w:rFonts w:ascii="Arial Narrow" w:hAnsi="Arial Narrow"/>
          <w:b/>
          <w:bCs/>
          <w:sz w:val="36"/>
          <w:szCs w:val="36"/>
          <w:lang w:val="en-US"/>
        </w:rPr>
      </w:pPr>
      <w:r w:rsidRPr="00CB7B3B">
        <w:rPr>
          <w:rFonts w:ascii="Arial Narrow" w:hAnsi="Arial Narrow"/>
          <w:b/>
          <w:bCs/>
          <w:sz w:val="36"/>
          <w:szCs w:val="36"/>
          <w:lang w:val="en-US"/>
        </w:rPr>
        <w:t>HEALTH POLICY AND THE LAW IN UGANDA</w:t>
      </w:r>
    </w:p>
    <w:p w:rsidR="009E3B8E" w:rsidRPr="00CB7B3B" w:rsidP="007A453D" w14:paraId="47549A18" w14:textId="77777777">
      <w:pPr>
        <w:jc w:val="center"/>
        <w:rPr>
          <w:rFonts w:ascii="Arial Narrow" w:hAnsi="Arial Narrow"/>
          <w:i/>
          <w:iCs/>
          <w:sz w:val="36"/>
          <w:szCs w:val="36"/>
          <w:lang w:val="en-US"/>
        </w:rPr>
      </w:pPr>
    </w:p>
    <w:p w:rsidR="007A453D" w:rsidRPr="00CB7B3B" w:rsidP="007A453D" w14:paraId="3AF25680" w14:textId="3EC28427">
      <w:pPr>
        <w:jc w:val="center"/>
        <w:rPr>
          <w:rFonts w:ascii="Arial Narrow" w:hAnsi="Arial Narrow"/>
          <w:sz w:val="36"/>
          <w:szCs w:val="36"/>
          <w:lang w:val="en-US"/>
        </w:rPr>
      </w:pPr>
      <w:r w:rsidRPr="00CB7B3B">
        <w:rPr>
          <w:rFonts w:ascii="Arial Narrow" w:hAnsi="Arial Narrow"/>
          <w:i/>
          <w:iCs/>
          <w:sz w:val="36"/>
          <w:szCs w:val="36"/>
          <w:lang w:val="en-US"/>
        </w:rPr>
        <w:t>“</w:t>
      </w:r>
      <w:r w:rsidRPr="00CB7B3B">
        <w:rPr>
          <w:rFonts w:ascii="Arial Narrow" w:hAnsi="Arial Narrow"/>
          <w:i/>
          <w:iCs/>
          <w:sz w:val="36"/>
          <w:szCs w:val="36"/>
          <w:lang w:val="en-US"/>
        </w:rPr>
        <w:t>20 years of Health Policy and the Law: Celebrating milestones in Health and Human Rights work in Uganda</w:t>
      </w:r>
      <w:r w:rsidRPr="00CB7B3B">
        <w:rPr>
          <w:rFonts w:ascii="Arial Narrow" w:hAnsi="Arial Narrow"/>
          <w:i/>
          <w:iCs/>
          <w:sz w:val="36"/>
          <w:szCs w:val="36"/>
          <w:lang w:val="en-US"/>
        </w:rPr>
        <w:t>”</w:t>
      </w:r>
    </w:p>
    <w:p w:rsidR="007A453D" w:rsidRPr="00CB7B3B" w:rsidP="007A453D" w14:paraId="30310FBC" w14:textId="77777777">
      <w:pPr>
        <w:jc w:val="center"/>
        <w:rPr>
          <w:rFonts w:ascii="Arial Narrow" w:hAnsi="Arial Narrow"/>
          <w:b/>
          <w:bCs/>
          <w:sz w:val="36"/>
          <w:szCs w:val="36"/>
          <w:lang w:val="en-US"/>
        </w:rPr>
      </w:pPr>
    </w:p>
    <w:p w:rsidR="007A453D" w:rsidRPr="00CB7B3B" w:rsidP="007A453D" w14:paraId="0BE2ABA7" w14:textId="77777777">
      <w:pPr>
        <w:jc w:val="center"/>
        <w:rPr>
          <w:rFonts w:ascii="Arial Narrow" w:hAnsi="Arial Narrow"/>
          <w:b/>
          <w:bCs/>
          <w:sz w:val="36"/>
          <w:szCs w:val="36"/>
          <w:lang w:val="en-US"/>
        </w:rPr>
      </w:pPr>
    </w:p>
    <w:p w:rsidR="00CD42ED" w:rsidRPr="00CB7B3B" w:rsidP="007A453D" w14:paraId="168F69ED" w14:textId="77777777">
      <w:pPr>
        <w:jc w:val="center"/>
        <w:rPr>
          <w:rFonts w:ascii="Arial Narrow" w:hAnsi="Arial Narrow"/>
          <w:b/>
          <w:bCs/>
          <w:sz w:val="36"/>
          <w:szCs w:val="36"/>
          <w:lang w:val="en-US"/>
        </w:rPr>
      </w:pPr>
    </w:p>
    <w:p w:rsidR="00CD42ED" w:rsidRPr="00CB7B3B" w:rsidP="007A453D" w14:paraId="11CCC6A1" w14:textId="77777777">
      <w:pPr>
        <w:jc w:val="center"/>
        <w:rPr>
          <w:rFonts w:ascii="Arial Narrow" w:hAnsi="Arial Narrow"/>
          <w:b/>
          <w:bCs/>
          <w:sz w:val="36"/>
          <w:szCs w:val="36"/>
          <w:lang w:val="en-US"/>
        </w:rPr>
      </w:pPr>
    </w:p>
    <w:p w:rsidR="00CD42ED" w:rsidRPr="00CB7B3B" w:rsidP="007A453D" w14:paraId="5272200A" w14:textId="77777777">
      <w:pPr>
        <w:jc w:val="center"/>
        <w:rPr>
          <w:rFonts w:ascii="Arial Narrow" w:hAnsi="Arial Narrow"/>
          <w:b/>
          <w:bCs/>
          <w:sz w:val="36"/>
          <w:szCs w:val="36"/>
          <w:lang w:val="en-US"/>
        </w:rPr>
      </w:pPr>
    </w:p>
    <w:p w:rsidR="007A453D" w:rsidRPr="00CB7B3B" w:rsidP="007A453D" w14:paraId="285CDC25" w14:textId="75A92E9F">
      <w:pPr>
        <w:jc w:val="center"/>
        <w:rPr>
          <w:rFonts w:ascii="Arial Narrow" w:hAnsi="Arial Narrow"/>
          <w:b/>
          <w:bCs/>
          <w:sz w:val="36"/>
          <w:szCs w:val="36"/>
          <w:lang w:val="en-US"/>
        </w:rPr>
      </w:pPr>
      <w:r w:rsidRPr="00CB7B3B">
        <w:rPr>
          <w:rFonts w:ascii="Arial Narrow" w:hAnsi="Arial Narrow"/>
          <w:b/>
          <w:bCs/>
          <w:sz w:val="36"/>
          <w:szCs w:val="36"/>
          <w:lang w:val="en-US"/>
        </w:rPr>
        <w:t>Keynote Address Presented By</w:t>
      </w:r>
      <w:r w:rsidRPr="00CB7B3B">
        <w:rPr>
          <w:rFonts w:ascii="Arial Narrow" w:hAnsi="Arial Narrow"/>
          <w:b/>
          <w:bCs/>
          <w:sz w:val="36"/>
          <w:szCs w:val="36"/>
          <w:lang w:val="en-US"/>
        </w:rPr>
        <w:t>:</w:t>
      </w:r>
    </w:p>
    <w:p w:rsidR="007A453D" w:rsidRPr="00CB7B3B" w:rsidP="007A453D" w14:paraId="56CEAAC5" w14:textId="77777777">
      <w:pPr>
        <w:jc w:val="center"/>
        <w:rPr>
          <w:rFonts w:ascii="Arial Narrow" w:hAnsi="Arial Narrow"/>
          <w:b/>
          <w:bCs/>
          <w:sz w:val="36"/>
          <w:szCs w:val="36"/>
          <w:lang w:val="en-US"/>
        </w:rPr>
      </w:pPr>
    </w:p>
    <w:p w:rsidR="00CD42ED" w:rsidRPr="00CB7B3B" w:rsidP="007A453D" w14:paraId="6C3F7A37" w14:textId="77777777">
      <w:pPr>
        <w:jc w:val="center"/>
        <w:rPr>
          <w:rFonts w:ascii="Arial Narrow" w:hAnsi="Arial Narrow"/>
          <w:b/>
          <w:bCs/>
          <w:sz w:val="36"/>
          <w:szCs w:val="36"/>
          <w:lang w:val="en-US"/>
        </w:rPr>
      </w:pPr>
    </w:p>
    <w:p w:rsidR="007A453D" w:rsidRPr="00CB7B3B" w:rsidP="007A453D" w14:paraId="542FB229" w14:textId="77777777">
      <w:pPr>
        <w:jc w:val="center"/>
        <w:rPr>
          <w:rFonts w:ascii="Arial Narrow" w:hAnsi="Arial Narrow"/>
          <w:b/>
          <w:bCs/>
          <w:sz w:val="36"/>
          <w:szCs w:val="36"/>
          <w:lang w:val="en-US"/>
        </w:rPr>
      </w:pPr>
    </w:p>
    <w:p w:rsidR="007A453D" w:rsidRPr="00CB7B3B" w:rsidP="007A453D" w14:paraId="5C2030FF" w14:textId="1172D575">
      <w:pPr>
        <w:jc w:val="center"/>
        <w:rPr>
          <w:rFonts w:ascii="Arial Narrow" w:hAnsi="Arial Narrow"/>
          <w:b/>
          <w:bCs/>
          <w:sz w:val="36"/>
          <w:szCs w:val="36"/>
          <w:lang w:val="en-US"/>
        </w:rPr>
      </w:pPr>
      <w:r w:rsidRPr="00CB7B3B">
        <w:rPr>
          <w:rFonts w:ascii="Arial Narrow" w:hAnsi="Arial Narrow"/>
          <w:b/>
          <w:bCs/>
          <w:sz w:val="36"/>
          <w:szCs w:val="36"/>
          <w:lang w:val="en-US"/>
        </w:rPr>
        <w:t xml:space="preserve">HIS LORDSHIP </w:t>
      </w:r>
      <w:r w:rsidR="00474150">
        <w:rPr>
          <w:rFonts w:ascii="Arial Narrow" w:hAnsi="Arial Narrow"/>
          <w:b/>
          <w:bCs/>
          <w:sz w:val="36"/>
          <w:szCs w:val="36"/>
          <w:lang w:val="en-US"/>
        </w:rPr>
        <w:t xml:space="preserve">RTD. </w:t>
      </w:r>
      <w:r w:rsidRPr="00CB7B3B">
        <w:rPr>
          <w:rFonts w:ascii="Arial Narrow" w:hAnsi="Arial Narrow"/>
          <w:b/>
          <w:bCs/>
          <w:sz w:val="36"/>
          <w:szCs w:val="36"/>
          <w:lang w:val="en-US"/>
        </w:rPr>
        <w:t xml:space="preserve">HON. </w:t>
      </w:r>
      <w:r w:rsidR="00474150">
        <w:rPr>
          <w:rFonts w:ascii="Arial Narrow" w:hAnsi="Arial Narrow"/>
          <w:b/>
          <w:bCs/>
          <w:sz w:val="36"/>
          <w:szCs w:val="36"/>
          <w:lang w:val="en-US"/>
        </w:rPr>
        <w:t xml:space="preserve">CHIEF </w:t>
      </w:r>
      <w:r w:rsidRPr="00CB7B3B">
        <w:rPr>
          <w:rFonts w:ascii="Arial Narrow" w:hAnsi="Arial Narrow"/>
          <w:b/>
          <w:bCs/>
          <w:sz w:val="36"/>
          <w:szCs w:val="36"/>
          <w:lang w:val="en-US"/>
        </w:rPr>
        <w:t xml:space="preserve">JUSTICE </w:t>
      </w:r>
      <w:r w:rsidR="00474150">
        <w:rPr>
          <w:rFonts w:ascii="Arial Narrow" w:hAnsi="Arial Narrow"/>
          <w:b/>
          <w:bCs/>
          <w:sz w:val="36"/>
          <w:szCs w:val="36"/>
          <w:lang w:val="en-US"/>
        </w:rPr>
        <w:t>BENJAMIN ODOKI</w:t>
      </w:r>
      <w:r w:rsidRPr="00CB7B3B">
        <w:rPr>
          <w:rFonts w:ascii="Arial Narrow" w:hAnsi="Arial Narrow"/>
          <w:b/>
          <w:bCs/>
          <w:sz w:val="36"/>
          <w:szCs w:val="36"/>
          <w:lang w:val="en-US"/>
        </w:rPr>
        <w:t>,</w:t>
      </w:r>
    </w:p>
    <w:p w:rsidR="004C7518" w:rsidRPr="00CB7B3B" w:rsidP="007A453D" w14:paraId="438B2B16" w14:textId="77777777">
      <w:pPr>
        <w:jc w:val="center"/>
        <w:rPr>
          <w:rFonts w:ascii="Arial Narrow" w:hAnsi="Arial Narrow"/>
          <w:b/>
          <w:bCs/>
          <w:sz w:val="36"/>
          <w:szCs w:val="36"/>
          <w:lang w:val="en-US"/>
        </w:rPr>
      </w:pPr>
    </w:p>
    <w:p w:rsidR="007A453D" w:rsidRPr="00CB7B3B" w:rsidP="007A453D" w14:paraId="66668C4D" w14:textId="77777777">
      <w:pPr>
        <w:jc w:val="center"/>
        <w:rPr>
          <w:rFonts w:ascii="Arial Narrow" w:hAnsi="Arial Narrow"/>
          <w:b/>
          <w:bCs/>
          <w:sz w:val="36"/>
          <w:szCs w:val="36"/>
          <w:lang w:val="en-US"/>
        </w:rPr>
      </w:pPr>
    </w:p>
    <w:p w:rsidR="007A453D" w:rsidRPr="00CB7B3B" w:rsidP="007A453D" w14:paraId="62C7ED23" w14:textId="77777777">
      <w:pPr>
        <w:jc w:val="center"/>
        <w:rPr>
          <w:rFonts w:ascii="Arial Narrow" w:hAnsi="Arial Narrow"/>
          <w:b/>
          <w:bCs/>
          <w:sz w:val="36"/>
          <w:szCs w:val="36"/>
          <w:lang w:val="en-US"/>
        </w:rPr>
      </w:pPr>
    </w:p>
    <w:p w:rsidR="007A453D" w:rsidRPr="00CB7B3B" w:rsidP="007A453D" w14:paraId="1E4D8E35" w14:textId="77777777">
      <w:pPr>
        <w:jc w:val="center"/>
        <w:rPr>
          <w:rFonts w:ascii="Arial Narrow" w:hAnsi="Arial Narrow"/>
          <w:b/>
          <w:bCs/>
          <w:sz w:val="36"/>
          <w:szCs w:val="36"/>
          <w:lang w:val="en-US"/>
        </w:rPr>
      </w:pPr>
    </w:p>
    <w:p w:rsidR="007A453D" w:rsidRPr="00CB7B3B" w:rsidP="00CB7B3B" w14:paraId="435065CF" w14:textId="77777777">
      <w:pPr>
        <w:rPr>
          <w:rFonts w:ascii="Arial Narrow" w:hAnsi="Arial Narrow"/>
          <w:b/>
          <w:bCs/>
          <w:sz w:val="36"/>
          <w:szCs w:val="36"/>
          <w:lang w:val="en-US"/>
        </w:rPr>
      </w:pPr>
    </w:p>
    <w:p w:rsidR="007A453D" w:rsidRPr="00CB7B3B" w:rsidP="007A453D" w14:paraId="24D2DB1F" w14:textId="23778A6A">
      <w:pPr>
        <w:jc w:val="center"/>
        <w:rPr>
          <w:rFonts w:ascii="Arial Narrow" w:hAnsi="Arial Narrow"/>
          <w:sz w:val="36"/>
          <w:szCs w:val="36"/>
          <w:lang w:val="en-US"/>
        </w:rPr>
      </w:pPr>
      <w:r w:rsidRPr="00CB7B3B">
        <w:rPr>
          <w:rFonts w:ascii="Arial Narrow" w:hAnsi="Arial Narrow"/>
          <w:sz w:val="36"/>
          <w:szCs w:val="36"/>
          <w:lang w:val="en-US"/>
        </w:rPr>
        <w:t>Tuesday 26</w:t>
      </w:r>
      <w:r w:rsidRPr="00CB7B3B">
        <w:rPr>
          <w:rFonts w:ascii="Arial Narrow" w:hAnsi="Arial Narrow"/>
          <w:sz w:val="36"/>
          <w:szCs w:val="36"/>
          <w:vertAlign w:val="superscript"/>
          <w:lang w:val="en-US"/>
        </w:rPr>
        <w:t>th</w:t>
      </w:r>
      <w:r w:rsidRPr="00CB7B3B">
        <w:rPr>
          <w:rFonts w:ascii="Arial Narrow" w:hAnsi="Arial Narrow"/>
          <w:sz w:val="36"/>
          <w:szCs w:val="36"/>
          <w:lang w:val="en-US"/>
        </w:rPr>
        <w:t xml:space="preserve"> </w:t>
      </w:r>
      <w:r w:rsidRPr="00CB7B3B">
        <w:rPr>
          <w:rFonts w:ascii="Arial Narrow" w:hAnsi="Arial Narrow"/>
          <w:sz w:val="36"/>
          <w:szCs w:val="36"/>
        </w:rPr>
        <w:t>September 2023</w:t>
      </w:r>
    </w:p>
    <w:p w:rsidR="00E327DE" w:rsidRPr="00910346" w:rsidP="00B05742" w14:paraId="69659CAC" w14:textId="77777777">
      <w:pPr>
        <w:jc w:val="both"/>
        <w:rPr>
          <w:rFonts w:ascii="Arial Narrow" w:hAnsi="Arial Narrow"/>
          <w:sz w:val="24"/>
          <w:szCs w:val="24"/>
        </w:rPr>
      </w:pPr>
    </w:p>
    <w:p w:rsidR="00DD2E7C" w:rsidRPr="00910346" w:rsidP="00B05742" w14:paraId="5BE0B145" w14:textId="77777777">
      <w:pPr>
        <w:jc w:val="both"/>
        <w:rPr>
          <w:rFonts w:ascii="Arial Narrow" w:hAnsi="Arial Narrow"/>
          <w:sz w:val="24"/>
          <w:szCs w:val="24"/>
        </w:rPr>
      </w:pPr>
    </w:p>
    <w:p w:rsidR="00E327DE" w:rsidRPr="00910346" w:rsidP="00B05742" w14:paraId="5F3EE204" w14:textId="77777777">
      <w:pPr>
        <w:jc w:val="both"/>
        <w:rPr>
          <w:rFonts w:ascii="Arial Narrow" w:hAnsi="Arial Narrow"/>
          <w:sz w:val="24"/>
          <w:szCs w:val="24"/>
        </w:rPr>
      </w:pPr>
    </w:p>
    <w:p w:rsidR="003A3B9C" w:rsidRPr="003A3B9C" w:rsidP="00B05742" w14:paraId="5D99B006" w14:textId="6FA409DC">
      <w:pPr>
        <w:jc w:val="both"/>
        <w:rPr>
          <w:rFonts w:ascii="Arial Narrow" w:hAnsi="Arial Narrow"/>
          <w:b/>
          <w:bCs/>
          <w:sz w:val="24"/>
          <w:szCs w:val="24"/>
          <w:lang w:val="en-US"/>
        </w:rPr>
      </w:pPr>
      <w:r w:rsidRPr="003A3B9C">
        <w:rPr>
          <w:rFonts w:ascii="Arial Narrow" w:hAnsi="Arial Narrow"/>
          <w:b/>
          <w:bCs/>
          <w:sz w:val="24"/>
          <w:szCs w:val="24"/>
          <w:lang w:val="en-US"/>
        </w:rPr>
        <w:t>Welcome</w:t>
      </w:r>
    </w:p>
    <w:p w:rsidR="00F30B8D" w:rsidRPr="00F30B8D" w:rsidP="00B05742" w14:paraId="5CF7AD9C" w14:textId="1A663205">
      <w:pPr>
        <w:jc w:val="both"/>
        <w:rPr>
          <w:rFonts w:ascii="Arial Narrow" w:hAnsi="Arial Narrow"/>
          <w:sz w:val="24"/>
          <w:szCs w:val="24"/>
          <w:lang w:val="en-US"/>
        </w:rPr>
      </w:pPr>
      <w:r w:rsidRPr="00F30B8D">
        <w:rPr>
          <w:rFonts w:ascii="Arial Narrow" w:hAnsi="Arial Narrow"/>
          <w:sz w:val="24"/>
          <w:szCs w:val="24"/>
        </w:rPr>
        <w:t>Ladies and Gentlemen</w:t>
      </w:r>
      <w:r w:rsidRPr="00910346" w:rsidR="00506656">
        <w:rPr>
          <w:rFonts w:ascii="Arial Narrow" w:hAnsi="Arial Narrow"/>
          <w:sz w:val="24"/>
          <w:szCs w:val="24"/>
          <w:lang w:val="en-US"/>
        </w:rPr>
        <w:t>, in your distinguished capacities,</w:t>
      </w:r>
    </w:p>
    <w:p w:rsidR="00E327DE" w:rsidRPr="00910346" w:rsidP="00E327DE" w14:paraId="6C0CB7BE" w14:textId="77777777">
      <w:pPr>
        <w:jc w:val="both"/>
        <w:rPr>
          <w:rFonts w:ascii="Arial Narrow" w:hAnsi="Arial Narrow"/>
          <w:sz w:val="24"/>
          <w:szCs w:val="24"/>
        </w:rPr>
      </w:pPr>
      <w:r w:rsidRPr="00F30B8D">
        <w:rPr>
          <w:rFonts w:ascii="Arial Narrow" w:hAnsi="Arial Narrow"/>
          <w:sz w:val="24"/>
          <w:szCs w:val="24"/>
        </w:rPr>
        <w:t xml:space="preserve">I am deeply </w:t>
      </w:r>
      <w:r w:rsidRPr="00910346">
        <w:rPr>
          <w:rFonts w:ascii="Arial Narrow" w:hAnsi="Arial Narrow"/>
          <w:sz w:val="24"/>
          <w:szCs w:val="24"/>
        </w:rPr>
        <w:t>honored</w:t>
      </w:r>
      <w:r w:rsidRPr="00F30B8D">
        <w:rPr>
          <w:rFonts w:ascii="Arial Narrow" w:hAnsi="Arial Narrow"/>
          <w:sz w:val="24"/>
          <w:szCs w:val="24"/>
        </w:rPr>
        <w:t xml:space="preserve"> to stand before you today</w:t>
      </w:r>
      <w:r w:rsidRPr="00910346">
        <w:rPr>
          <w:rFonts w:ascii="Arial Narrow" w:hAnsi="Arial Narrow"/>
          <w:sz w:val="24"/>
          <w:szCs w:val="24"/>
          <w:lang w:val="en-US"/>
        </w:rPr>
        <w:t xml:space="preserve">, on the invitation of the Center for Health, Human Rights and Development (CEHURD) </w:t>
      </w:r>
      <w:r w:rsidRPr="00F30B8D">
        <w:rPr>
          <w:rFonts w:ascii="Arial Narrow" w:hAnsi="Arial Narrow"/>
          <w:sz w:val="24"/>
          <w:szCs w:val="24"/>
        </w:rPr>
        <w:t xml:space="preserve">as we </w:t>
      </w:r>
      <w:r w:rsidRPr="00910346">
        <w:rPr>
          <w:rFonts w:ascii="Arial Narrow" w:hAnsi="Arial Narrow"/>
          <w:sz w:val="24"/>
          <w:szCs w:val="24"/>
          <w:lang w:val="en-US"/>
        </w:rPr>
        <w:t>celebrate</w:t>
      </w:r>
      <w:r w:rsidRPr="00F30B8D">
        <w:rPr>
          <w:rFonts w:ascii="Arial Narrow" w:hAnsi="Arial Narrow"/>
          <w:sz w:val="24"/>
          <w:szCs w:val="24"/>
        </w:rPr>
        <w:t xml:space="preserve"> remarkable progress in the field of Health Policy and the Law in Uganda. </w:t>
      </w:r>
    </w:p>
    <w:p w:rsidR="00E327DE" w:rsidRPr="00910346" w:rsidP="00E327DE" w14:paraId="5EE63846" w14:textId="1DBEEA48">
      <w:pPr>
        <w:jc w:val="both"/>
        <w:rPr>
          <w:rFonts w:ascii="Arial Narrow" w:hAnsi="Arial Narrow"/>
          <w:sz w:val="24"/>
          <w:szCs w:val="24"/>
          <w:lang w:val="en-US"/>
        </w:rPr>
      </w:pPr>
      <w:r w:rsidRPr="00910346">
        <w:rPr>
          <w:rFonts w:ascii="Arial Narrow" w:hAnsi="Arial Narrow"/>
          <w:sz w:val="24"/>
          <w:szCs w:val="24"/>
        </w:rPr>
        <w:t xml:space="preserve">Allow me to </w:t>
      </w:r>
      <w:r w:rsidRPr="00910346" w:rsidR="005D7B1D">
        <w:rPr>
          <w:rFonts w:ascii="Arial Narrow" w:hAnsi="Arial Narrow"/>
          <w:sz w:val="24"/>
          <w:szCs w:val="24"/>
          <w:lang w:val="en-US"/>
        </w:rPr>
        <w:t>begin</w:t>
      </w:r>
      <w:r w:rsidRPr="00910346">
        <w:rPr>
          <w:rFonts w:ascii="Arial Narrow" w:hAnsi="Arial Narrow"/>
          <w:sz w:val="24"/>
          <w:szCs w:val="24"/>
        </w:rPr>
        <w:t xml:space="preserve"> by expressing our collective appreciation for this significant milestone. The past </w:t>
      </w:r>
      <w:r w:rsidRPr="00910346">
        <w:rPr>
          <w:rFonts w:ascii="Arial Narrow" w:hAnsi="Arial Narrow"/>
          <w:sz w:val="24"/>
          <w:szCs w:val="24"/>
          <w:lang w:val="en-US"/>
        </w:rPr>
        <w:t>two decades or so,</w:t>
      </w:r>
      <w:r w:rsidRPr="00910346">
        <w:rPr>
          <w:rFonts w:ascii="Arial Narrow" w:hAnsi="Arial Narrow"/>
          <w:sz w:val="24"/>
          <w:szCs w:val="24"/>
        </w:rPr>
        <w:t xml:space="preserve"> have been marked by dedication, resilience, and a shared vision for a healthier, more equitable Uganda.</w:t>
      </w:r>
      <w:r w:rsidRPr="00910346">
        <w:rPr>
          <w:rFonts w:ascii="Arial Narrow" w:hAnsi="Arial Narrow"/>
          <w:sz w:val="24"/>
          <w:szCs w:val="24"/>
          <w:lang w:val="en-US"/>
        </w:rPr>
        <w:t xml:space="preserve"> </w:t>
      </w:r>
    </w:p>
    <w:p w:rsidR="006D0E0B" w:rsidRPr="00910346" w:rsidP="006D0E0B" w14:paraId="27D0F2C8" w14:textId="77777777">
      <w:pPr>
        <w:pStyle w:val="ListParagraph"/>
        <w:numPr>
          <w:ilvl w:val="0"/>
          <w:numId w:val="4"/>
        </w:numPr>
        <w:jc w:val="both"/>
        <w:rPr>
          <w:rFonts w:ascii="Arial Narrow" w:hAnsi="Arial Narrow"/>
          <w:b/>
          <w:bCs/>
          <w:sz w:val="24"/>
          <w:szCs w:val="24"/>
          <w:lang w:val="en-US"/>
        </w:rPr>
      </w:pPr>
      <w:r w:rsidRPr="00910346">
        <w:rPr>
          <w:rFonts w:ascii="Arial Narrow" w:hAnsi="Arial Narrow"/>
          <w:b/>
          <w:bCs/>
          <w:sz w:val="24"/>
          <w:szCs w:val="24"/>
          <w:lang w:val="en-US"/>
        </w:rPr>
        <w:t>Introduction</w:t>
      </w:r>
    </w:p>
    <w:p w:rsidR="00B713BC" w:rsidRPr="00910346" w:rsidP="00B05742" w14:paraId="35981D32" w14:textId="0CE5C208">
      <w:pPr>
        <w:jc w:val="both"/>
        <w:rPr>
          <w:rFonts w:ascii="Arial Narrow" w:hAnsi="Arial Narrow"/>
          <w:sz w:val="24"/>
          <w:szCs w:val="24"/>
        </w:rPr>
      </w:pPr>
      <w:r w:rsidRPr="00910346">
        <w:rPr>
          <w:rFonts w:ascii="Arial Narrow" w:hAnsi="Arial Narrow"/>
          <w:sz w:val="24"/>
          <w:szCs w:val="24"/>
        </w:rPr>
        <w:t>The connection between law and health commences with the definition of these two concepts. According to the World Health Organization (WHO), 'health' is defined as a state of complete physical, mental, and social well-being, and not merely the absence of disease and infirmity.' On the other hand, 'law' is described as 'the system of rules recognized by a specific country or community to regulate the behavior of its members and enforceable through the imposition of penalties.' When these two definitions are brought together, we arrive at the concept of 'Health and the law,' which pertains to the set of enforceable regulations established by governments and applied to individuals to foster a healthy society.</w:t>
      </w:r>
    </w:p>
    <w:p w:rsidR="005F107D" w:rsidRPr="005F107D" w:rsidP="005F107D" w14:paraId="2D48F9DE" w14:textId="60FD1B22">
      <w:pPr>
        <w:jc w:val="both"/>
        <w:rPr>
          <w:rFonts w:ascii="Arial Narrow" w:hAnsi="Arial Narrow"/>
          <w:sz w:val="24"/>
          <w:szCs w:val="24"/>
          <w:lang w:val="en-US"/>
        </w:rPr>
      </w:pPr>
      <w:r w:rsidRPr="00910346">
        <w:rPr>
          <w:rFonts w:ascii="Arial Narrow" w:hAnsi="Arial Narrow"/>
          <w:sz w:val="24"/>
          <w:szCs w:val="24"/>
          <w:lang w:val="en-US"/>
        </w:rPr>
        <w:t xml:space="preserve">Courts have discussed the </w:t>
      </w:r>
      <w:r w:rsidRPr="00910346" w:rsidR="00EF252F">
        <w:rPr>
          <w:rFonts w:ascii="Arial Narrow" w:hAnsi="Arial Narrow"/>
          <w:sz w:val="24"/>
          <w:szCs w:val="24"/>
          <w:lang w:val="en-US"/>
        </w:rPr>
        <w:t>right to health</w:t>
      </w:r>
      <w:r w:rsidRPr="00910346">
        <w:rPr>
          <w:rFonts w:ascii="Arial Narrow" w:hAnsi="Arial Narrow"/>
          <w:sz w:val="24"/>
          <w:szCs w:val="24"/>
          <w:lang w:val="en-US"/>
        </w:rPr>
        <w:t xml:space="preserve"> </w:t>
      </w:r>
      <w:r w:rsidRPr="00910346" w:rsidR="00CD42ED">
        <w:rPr>
          <w:rFonts w:ascii="Arial Narrow" w:hAnsi="Arial Narrow"/>
          <w:sz w:val="24"/>
          <w:szCs w:val="24"/>
          <w:lang w:val="en-US"/>
        </w:rPr>
        <w:t xml:space="preserve">as it </w:t>
      </w:r>
      <w:r w:rsidRPr="00910346">
        <w:rPr>
          <w:rFonts w:ascii="Arial Narrow" w:hAnsi="Arial Narrow"/>
          <w:sz w:val="24"/>
          <w:szCs w:val="24"/>
          <w:lang w:val="en-US"/>
        </w:rPr>
        <w:t xml:space="preserve">goes beyond </w:t>
      </w:r>
      <w:r w:rsidRPr="005F107D">
        <w:rPr>
          <w:rFonts w:ascii="Arial Narrow" w:hAnsi="Arial Narrow"/>
          <w:sz w:val="24"/>
          <w:szCs w:val="24"/>
        </w:rPr>
        <w:t xml:space="preserve">medical negligence </w:t>
      </w:r>
      <w:r w:rsidRPr="00910346">
        <w:rPr>
          <w:rFonts w:ascii="Arial Narrow" w:hAnsi="Arial Narrow"/>
          <w:sz w:val="24"/>
          <w:szCs w:val="24"/>
          <w:lang w:val="en-US"/>
        </w:rPr>
        <w:t>and general provision of health care</w:t>
      </w:r>
      <w:r>
        <w:rPr>
          <w:rStyle w:val="FootnoteReference"/>
          <w:rFonts w:ascii="Arial Narrow" w:hAnsi="Arial Narrow"/>
          <w:sz w:val="24"/>
          <w:szCs w:val="24"/>
          <w:lang w:val="en-US"/>
        </w:rPr>
        <w:footnoteReference w:id="2"/>
      </w:r>
      <w:r w:rsidRPr="00910346" w:rsidR="00C60C53">
        <w:rPr>
          <w:rFonts w:ascii="Arial Narrow" w:hAnsi="Arial Narrow"/>
          <w:sz w:val="24"/>
          <w:szCs w:val="24"/>
          <w:lang w:val="en-US"/>
        </w:rPr>
        <w:t xml:space="preserve"> to include the determinants of health</w:t>
      </w:r>
      <w:r w:rsidRPr="00910346" w:rsidR="00506B06">
        <w:rPr>
          <w:rFonts w:ascii="Arial Narrow" w:hAnsi="Arial Narrow"/>
          <w:sz w:val="24"/>
          <w:szCs w:val="24"/>
          <w:lang w:val="en-US"/>
        </w:rPr>
        <w:t>, which include livelihoods, education, access to food, safe and clean water, clean and healthy environment, et cetera</w:t>
      </w:r>
      <w:r w:rsidRPr="00910346" w:rsidR="00C60C53">
        <w:rPr>
          <w:rFonts w:ascii="Arial Narrow" w:hAnsi="Arial Narrow"/>
          <w:sz w:val="24"/>
          <w:szCs w:val="24"/>
          <w:lang w:val="en-US"/>
        </w:rPr>
        <w:t>.</w:t>
      </w:r>
    </w:p>
    <w:p w:rsidR="00CD42ED" w:rsidRPr="00CD42ED" w:rsidP="00CD42ED" w14:paraId="52E5857D" w14:textId="19E50652">
      <w:pPr>
        <w:jc w:val="both"/>
        <w:rPr>
          <w:rFonts w:ascii="Arial Narrow" w:hAnsi="Arial Narrow"/>
          <w:sz w:val="24"/>
          <w:szCs w:val="24"/>
          <w:lang w:val="en-US"/>
        </w:rPr>
      </w:pPr>
      <w:r w:rsidRPr="00CD42ED">
        <w:rPr>
          <w:rFonts w:ascii="Arial Narrow" w:hAnsi="Arial Narrow"/>
          <w:sz w:val="24"/>
          <w:szCs w:val="24"/>
        </w:rPr>
        <w:t>Although the</w:t>
      </w:r>
      <w:r w:rsidRPr="00CD42ED">
        <w:rPr>
          <w:rFonts w:ascii="Arial Narrow" w:hAnsi="Arial Narrow"/>
          <w:sz w:val="24"/>
          <w:szCs w:val="24"/>
          <w:lang w:val="en-US"/>
        </w:rPr>
        <w:t>re is an existing</w:t>
      </w:r>
      <w:r w:rsidRPr="00CD42ED">
        <w:rPr>
          <w:rFonts w:ascii="Arial Narrow" w:hAnsi="Arial Narrow"/>
          <w:sz w:val="24"/>
          <w:szCs w:val="24"/>
        </w:rPr>
        <w:t xml:space="preserve"> legal framework that provides for redress against medical negligence in the form of civil and criminal law, it is</w:t>
      </w:r>
      <w:r w:rsidRPr="00910346">
        <w:rPr>
          <w:rFonts w:ascii="Arial Narrow" w:hAnsi="Arial Narrow"/>
          <w:sz w:val="24"/>
          <w:szCs w:val="24"/>
          <w:lang w:val="en-US"/>
        </w:rPr>
        <w:t xml:space="preserve"> rather</w:t>
      </w:r>
      <w:r w:rsidRPr="00CD42ED">
        <w:rPr>
          <w:rFonts w:ascii="Arial Narrow" w:hAnsi="Arial Narrow"/>
          <w:sz w:val="24"/>
          <w:szCs w:val="24"/>
        </w:rPr>
        <w:t xml:space="preserve"> </w:t>
      </w:r>
      <w:r w:rsidRPr="00CD42ED">
        <w:rPr>
          <w:rFonts w:ascii="Arial Narrow" w:hAnsi="Arial Narrow"/>
          <w:sz w:val="24"/>
          <w:szCs w:val="24"/>
          <w:lang w:val="en-US"/>
        </w:rPr>
        <w:t>complicated</w:t>
      </w:r>
      <w:r w:rsidRPr="00CD42ED">
        <w:rPr>
          <w:rFonts w:ascii="Arial Narrow" w:hAnsi="Arial Narrow"/>
          <w:sz w:val="24"/>
          <w:szCs w:val="24"/>
        </w:rPr>
        <w:t xml:space="preserve"> for victim</w:t>
      </w:r>
      <w:r w:rsidRPr="00CD42ED">
        <w:rPr>
          <w:rFonts w:ascii="Arial Narrow" w:hAnsi="Arial Narrow"/>
          <w:sz w:val="24"/>
          <w:szCs w:val="24"/>
          <w:lang w:val="en-US"/>
        </w:rPr>
        <w:t>s</w:t>
      </w:r>
      <w:r w:rsidRPr="00CD42ED">
        <w:rPr>
          <w:rFonts w:ascii="Arial Narrow" w:hAnsi="Arial Narrow"/>
          <w:sz w:val="24"/>
          <w:szCs w:val="24"/>
        </w:rPr>
        <w:t xml:space="preserve"> to</w:t>
      </w:r>
      <w:r w:rsidR="003A3B9C">
        <w:rPr>
          <w:rFonts w:ascii="Arial Narrow" w:hAnsi="Arial Narrow"/>
          <w:sz w:val="24"/>
          <w:szCs w:val="24"/>
          <w:lang w:val="en-US"/>
        </w:rPr>
        <w:t xml:space="preserve"> succeed on claims of</w:t>
      </w:r>
      <w:r w:rsidRPr="00CD42ED">
        <w:rPr>
          <w:rFonts w:ascii="Arial Narrow" w:hAnsi="Arial Narrow"/>
          <w:sz w:val="24"/>
          <w:szCs w:val="24"/>
        </w:rPr>
        <w:t xml:space="preserve"> medical negligence against a medical professional let alone extract payment of damages from the government.</w:t>
      </w:r>
      <w:r w:rsidRPr="00CD42ED">
        <w:rPr>
          <w:rFonts w:ascii="Arial Narrow" w:hAnsi="Arial Narrow"/>
          <w:sz w:val="24"/>
          <w:szCs w:val="24"/>
          <w:lang w:val="en-US"/>
        </w:rPr>
        <w:t xml:space="preserve"> </w:t>
      </w:r>
    </w:p>
    <w:p w:rsidR="005F107D" w:rsidRPr="00910346" w:rsidP="005F107D" w14:paraId="7681802A" w14:textId="53F14C68">
      <w:pPr>
        <w:jc w:val="both"/>
        <w:rPr>
          <w:rFonts w:ascii="Arial Narrow" w:hAnsi="Arial Narrow"/>
          <w:sz w:val="24"/>
          <w:szCs w:val="24"/>
          <w:lang w:val="en-US"/>
        </w:rPr>
      </w:pPr>
      <w:r w:rsidRPr="00910346">
        <w:rPr>
          <w:rFonts w:ascii="Arial Narrow" w:hAnsi="Arial Narrow"/>
          <w:sz w:val="24"/>
          <w:szCs w:val="24"/>
          <w:lang w:val="en-US"/>
        </w:rPr>
        <w:t>The</w:t>
      </w:r>
      <w:r w:rsidRPr="00910346" w:rsidR="00CD42ED">
        <w:rPr>
          <w:rFonts w:ascii="Arial Narrow" w:hAnsi="Arial Narrow"/>
          <w:sz w:val="24"/>
          <w:szCs w:val="24"/>
          <w:lang w:val="en-US"/>
        </w:rPr>
        <w:t xml:space="preserve"> sure option then rests in the</w:t>
      </w:r>
      <w:r w:rsidRPr="00910346">
        <w:rPr>
          <w:rFonts w:ascii="Arial Narrow" w:hAnsi="Arial Narrow"/>
          <w:sz w:val="24"/>
          <w:szCs w:val="24"/>
          <w:lang w:val="en-US"/>
        </w:rPr>
        <w:t xml:space="preserve"> enforcement of </w:t>
      </w:r>
      <w:r w:rsidRPr="00910346" w:rsidR="00CD42ED">
        <w:rPr>
          <w:rFonts w:ascii="Arial Narrow" w:hAnsi="Arial Narrow"/>
          <w:sz w:val="24"/>
          <w:szCs w:val="24"/>
          <w:lang w:val="en-US"/>
        </w:rPr>
        <w:t>one's</w:t>
      </w:r>
      <w:r w:rsidRPr="00910346">
        <w:rPr>
          <w:rFonts w:ascii="Arial Narrow" w:hAnsi="Arial Narrow"/>
          <w:sz w:val="24"/>
          <w:szCs w:val="24"/>
          <w:lang w:val="en-US"/>
        </w:rPr>
        <w:t xml:space="preserve"> claim as a human right</w:t>
      </w:r>
      <w:r w:rsidRPr="00910346" w:rsidR="00CD42ED">
        <w:rPr>
          <w:rFonts w:ascii="Arial Narrow" w:hAnsi="Arial Narrow"/>
          <w:sz w:val="24"/>
          <w:szCs w:val="24"/>
          <w:lang w:val="en-US"/>
        </w:rPr>
        <w:t xml:space="preserve">. It </w:t>
      </w:r>
      <w:r w:rsidRPr="00910346">
        <w:rPr>
          <w:rFonts w:ascii="Arial Narrow" w:hAnsi="Arial Narrow"/>
          <w:sz w:val="24"/>
          <w:szCs w:val="24"/>
          <w:lang w:val="en-US"/>
        </w:rPr>
        <w:t xml:space="preserve">gives one a better chance at success given the positive and negative obligations of the state in the protection and fulfillment of human rights. </w:t>
      </w:r>
    </w:p>
    <w:p w:rsidR="007E0F1F" w:rsidRPr="00910346" w:rsidP="006D0E0B" w14:paraId="16E0892A" w14:textId="4F5C79D2">
      <w:pPr>
        <w:pStyle w:val="ListParagraph"/>
        <w:numPr>
          <w:ilvl w:val="0"/>
          <w:numId w:val="4"/>
        </w:numPr>
        <w:jc w:val="both"/>
        <w:rPr>
          <w:rFonts w:ascii="Arial Narrow" w:hAnsi="Arial Narrow"/>
          <w:b/>
          <w:bCs/>
          <w:sz w:val="24"/>
          <w:szCs w:val="24"/>
          <w:lang w:val="en-US"/>
        </w:rPr>
      </w:pPr>
      <w:r w:rsidRPr="00910346">
        <w:rPr>
          <w:rFonts w:ascii="Arial Narrow" w:hAnsi="Arial Narrow"/>
          <w:b/>
          <w:bCs/>
          <w:sz w:val="24"/>
          <w:szCs w:val="24"/>
          <w:lang w:val="en-US"/>
        </w:rPr>
        <w:t xml:space="preserve">The </w:t>
      </w:r>
      <w:r w:rsidR="00495C02">
        <w:rPr>
          <w:rFonts w:ascii="Arial Narrow" w:hAnsi="Arial Narrow"/>
          <w:b/>
          <w:bCs/>
          <w:sz w:val="24"/>
          <w:szCs w:val="24"/>
          <w:lang w:val="en-US"/>
        </w:rPr>
        <w:t xml:space="preserve">development of </w:t>
      </w:r>
      <w:r w:rsidRPr="00910346">
        <w:rPr>
          <w:rFonts w:ascii="Arial Narrow" w:hAnsi="Arial Narrow"/>
          <w:b/>
          <w:bCs/>
          <w:sz w:val="24"/>
          <w:szCs w:val="24"/>
          <w:lang w:val="en-US"/>
        </w:rPr>
        <w:t>Health Policy and the Law in Uganda</w:t>
      </w:r>
    </w:p>
    <w:p w:rsidR="00495C02" w:rsidRPr="00495C02" w:rsidP="00495C02" w14:paraId="41BD3670" w14:textId="523E871F">
      <w:pPr>
        <w:jc w:val="both"/>
        <w:rPr>
          <w:rFonts w:ascii="Arial Narrow" w:hAnsi="Arial Narrow"/>
          <w:sz w:val="24"/>
          <w:szCs w:val="24"/>
          <w:lang w:val="en-US"/>
        </w:rPr>
      </w:pPr>
      <w:r w:rsidRPr="00F30B8D">
        <w:rPr>
          <w:rFonts w:ascii="Arial Narrow" w:hAnsi="Arial Narrow"/>
          <w:sz w:val="24"/>
          <w:szCs w:val="24"/>
        </w:rPr>
        <w:t>Th</w:t>
      </w:r>
      <w:r w:rsidRPr="00910346">
        <w:rPr>
          <w:rFonts w:ascii="Arial Narrow" w:hAnsi="Arial Narrow"/>
          <w:sz w:val="24"/>
          <w:szCs w:val="24"/>
          <w:lang w:val="en-US"/>
        </w:rPr>
        <w:t>e</w:t>
      </w:r>
      <w:r w:rsidRPr="00F30B8D">
        <w:rPr>
          <w:rFonts w:ascii="Arial Narrow" w:hAnsi="Arial Narrow"/>
          <w:sz w:val="24"/>
          <w:szCs w:val="24"/>
        </w:rPr>
        <w:t xml:space="preserve"> journey</w:t>
      </w:r>
      <w:r w:rsidRPr="00910346">
        <w:rPr>
          <w:rFonts w:ascii="Arial Narrow" w:hAnsi="Arial Narrow"/>
          <w:sz w:val="24"/>
          <w:szCs w:val="24"/>
          <w:lang w:val="en-US"/>
        </w:rPr>
        <w:t xml:space="preserve"> we celebrate today,</w:t>
      </w:r>
      <w:r w:rsidRPr="00F30B8D">
        <w:rPr>
          <w:rFonts w:ascii="Arial Narrow" w:hAnsi="Arial Narrow"/>
          <w:sz w:val="24"/>
          <w:szCs w:val="24"/>
        </w:rPr>
        <w:t xml:space="preserve"> began with the introduction of a Health and the Law course at Makerere University School of Law,</w:t>
      </w:r>
      <w:r w:rsidRPr="00910346">
        <w:rPr>
          <w:rFonts w:ascii="Arial Narrow" w:hAnsi="Arial Narrow"/>
          <w:sz w:val="24"/>
          <w:szCs w:val="24"/>
          <w:lang w:val="en-US"/>
        </w:rPr>
        <w:t xml:space="preserve"> by Her Lordship Dr. Esther Mayamba Kisaakye, and picked up by Pro. Ben Kiromba Twinomugisha</w:t>
      </w:r>
      <w:r w:rsidRPr="00F30B8D">
        <w:rPr>
          <w:rFonts w:ascii="Arial Narrow" w:hAnsi="Arial Narrow"/>
          <w:sz w:val="24"/>
          <w:szCs w:val="24"/>
        </w:rPr>
        <w:t xml:space="preserve"> has since evolved into a transformative force in our healthcare landscape, touching the lives of countless individuals across the nation.</w:t>
      </w:r>
      <w:r w:rsidR="00433C72">
        <w:rPr>
          <w:rFonts w:ascii="Arial Narrow" w:hAnsi="Arial Narrow"/>
          <w:sz w:val="24"/>
          <w:szCs w:val="24"/>
          <w:lang w:val="en-US"/>
        </w:rPr>
        <w:t xml:space="preserve"> </w:t>
      </w:r>
      <w:r w:rsidRPr="00495C02">
        <w:rPr>
          <w:rFonts w:ascii="Arial Narrow" w:hAnsi="Arial Narrow"/>
          <w:sz w:val="24"/>
          <w:szCs w:val="24"/>
          <w:lang w:val="en-US"/>
        </w:rPr>
        <w:t>Driven by passion, students from the course have set up nonprofit institutions such as CEHURD</w:t>
      </w:r>
      <w:r>
        <w:rPr>
          <w:rFonts w:ascii="Arial Narrow" w:hAnsi="Arial Narrow"/>
          <w:sz w:val="24"/>
          <w:szCs w:val="24"/>
          <w:lang w:val="en-US"/>
        </w:rPr>
        <w:t>, Uganda Network on Law, HIV and AIDS (UGANET),</w:t>
      </w:r>
      <w:r w:rsidRPr="00495C02">
        <w:rPr>
          <w:rFonts w:ascii="Arial Narrow" w:hAnsi="Arial Narrow"/>
          <w:sz w:val="24"/>
          <w:szCs w:val="24"/>
          <w:lang w:val="en-US"/>
        </w:rPr>
        <w:t xml:space="preserve"> which have </w:t>
      </w:r>
      <w:r w:rsidRPr="00495C02">
        <w:rPr>
          <w:rFonts w:ascii="Arial Narrow" w:hAnsi="Arial Narrow"/>
          <w:sz w:val="24"/>
          <w:szCs w:val="24"/>
        </w:rPr>
        <w:t>played a pivotal role in advancing</w:t>
      </w:r>
      <w:r w:rsidRPr="00495C02">
        <w:rPr>
          <w:rFonts w:ascii="Arial Narrow" w:hAnsi="Arial Narrow"/>
          <w:sz w:val="24"/>
          <w:szCs w:val="24"/>
          <w:lang w:val="en-US"/>
        </w:rPr>
        <w:t xml:space="preserve"> and advancing</w:t>
      </w:r>
      <w:r w:rsidRPr="00495C02">
        <w:rPr>
          <w:rFonts w:ascii="Arial Narrow" w:hAnsi="Arial Narrow"/>
          <w:sz w:val="24"/>
          <w:szCs w:val="24"/>
        </w:rPr>
        <w:t xml:space="preserve"> the healthcare landscape</w:t>
      </w:r>
      <w:r w:rsidRPr="00495C02">
        <w:rPr>
          <w:rFonts w:ascii="Arial Narrow" w:hAnsi="Arial Narrow"/>
          <w:sz w:val="24"/>
          <w:szCs w:val="24"/>
          <w:lang w:val="en-US"/>
        </w:rPr>
        <w:t xml:space="preserve"> in Uganda through research, litigation, and advocacy over the past two decades. Indeed, the institution has been at the forefront of creating jurisprudence on health especially in the areas of maternal health, gender-based violence sexuality education, and mental health, among others. </w:t>
      </w:r>
    </w:p>
    <w:p w:rsidR="007E0F1F" w:rsidRPr="007E0F1F" w:rsidP="007E0F1F" w14:paraId="3EFADC3C" w14:textId="5AB0A797">
      <w:pPr>
        <w:jc w:val="both"/>
        <w:rPr>
          <w:rFonts w:ascii="Arial Narrow" w:hAnsi="Arial Narrow"/>
          <w:sz w:val="24"/>
          <w:szCs w:val="24"/>
          <w:lang w:val="en-US"/>
        </w:rPr>
      </w:pPr>
      <w:r w:rsidRPr="007E0F1F">
        <w:rPr>
          <w:rFonts w:ascii="Arial Narrow" w:hAnsi="Arial Narrow"/>
          <w:sz w:val="24"/>
          <w:szCs w:val="24"/>
        </w:rPr>
        <w:t xml:space="preserve">In Uganda, </w:t>
      </w:r>
      <w:r w:rsidRPr="007E0F1F">
        <w:rPr>
          <w:rFonts w:ascii="Arial Narrow" w:hAnsi="Arial Narrow"/>
          <w:sz w:val="24"/>
          <w:szCs w:val="24"/>
          <w:lang w:val="en-US"/>
        </w:rPr>
        <w:t xml:space="preserve">enforcement of </w:t>
      </w:r>
      <w:r w:rsidRPr="007E0F1F">
        <w:rPr>
          <w:rFonts w:ascii="Arial Narrow" w:hAnsi="Arial Narrow"/>
          <w:sz w:val="24"/>
          <w:szCs w:val="24"/>
        </w:rPr>
        <w:t>health-related</w:t>
      </w:r>
      <w:r w:rsidRPr="007E0F1F">
        <w:rPr>
          <w:rFonts w:ascii="Arial Narrow" w:hAnsi="Arial Narrow"/>
          <w:sz w:val="24"/>
          <w:szCs w:val="24"/>
          <w:lang w:val="en-US"/>
        </w:rPr>
        <w:t xml:space="preserve"> violations was not recognized as human rights violations </w:t>
      </w:r>
      <w:r w:rsidRPr="007E0F1F">
        <w:rPr>
          <w:rFonts w:ascii="Arial Narrow" w:hAnsi="Arial Narrow"/>
          <w:sz w:val="24"/>
          <w:szCs w:val="24"/>
        </w:rPr>
        <w:t xml:space="preserve">until recently. </w:t>
      </w:r>
      <w:r w:rsidRPr="007E0F1F">
        <w:rPr>
          <w:rFonts w:ascii="Arial Narrow" w:hAnsi="Arial Narrow"/>
          <w:sz w:val="24"/>
          <w:szCs w:val="24"/>
          <w:lang w:val="en-US"/>
        </w:rPr>
        <w:t xml:space="preserve">This </w:t>
      </w:r>
      <w:r w:rsidRPr="00910346" w:rsidR="005D7B1D">
        <w:rPr>
          <w:rFonts w:ascii="Arial Narrow" w:hAnsi="Arial Narrow"/>
          <w:sz w:val="24"/>
          <w:szCs w:val="24"/>
          <w:lang w:val="en-US"/>
        </w:rPr>
        <w:t>area</w:t>
      </w:r>
      <w:r w:rsidRPr="007E0F1F">
        <w:rPr>
          <w:rFonts w:ascii="Arial Narrow" w:hAnsi="Arial Narrow"/>
          <w:sz w:val="24"/>
          <w:szCs w:val="24"/>
          <w:lang w:val="en-US"/>
        </w:rPr>
        <w:t xml:space="preserve"> of law </w:t>
      </w:r>
      <w:r w:rsidRPr="007E0F1F">
        <w:rPr>
          <w:rFonts w:ascii="Arial Narrow" w:hAnsi="Arial Narrow"/>
          <w:sz w:val="24"/>
          <w:szCs w:val="24"/>
        </w:rPr>
        <w:t>was largely embedded within the law of tort under medical negligence, constitutional law under quarantines for reasons of public health and safety, and criminal law under imposing sanctions on health workers for committing negligent acts</w:t>
      </w:r>
      <w:r>
        <w:rPr>
          <w:rFonts w:ascii="Arial Narrow" w:hAnsi="Arial Narrow"/>
          <w:sz w:val="24"/>
          <w:szCs w:val="24"/>
          <w:vertAlign w:val="superscript"/>
        </w:rPr>
        <w:footnoteReference w:id="3"/>
      </w:r>
      <w:r w:rsidRPr="007E0F1F">
        <w:rPr>
          <w:rFonts w:ascii="Arial Narrow" w:hAnsi="Arial Narrow"/>
          <w:sz w:val="24"/>
          <w:szCs w:val="24"/>
          <w:lang w:val="en-US"/>
        </w:rPr>
        <w:t>.</w:t>
      </w:r>
    </w:p>
    <w:p w:rsidR="005D7B1D" w:rsidRPr="00910346" w:rsidP="007E0F1F" w14:paraId="754A2224" w14:textId="77777777">
      <w:pPr>
        <w:jc w:val="both"/>
        <w:rPr>
          <w:rFonts w:ascii="Arial Narrow" w:hAnsi="Arial Narrow"/>
          <w:sz w:val="24"/>
          <w:szCs w:val="24"/>
          <w:lang w:val="en-US"/>
        </w:rPr>
      </w:pPr>
      <w:r w:rsidRPr="007E0F1F">
        <w:rPr>
          <w:rFonts w:ascii="Arial Narrow" w:hAnsi="Arial Narrow"/>
          <w:sz w:val="24"/>
          <w:szCs w:val="24"/>
          <w:lang w:val="en-US"/>
        </w:rPr>
        <w:t xml:space="preserve">Just like the case is with all other Economic, Social, and Cultural Rights, recognition of health as a human right has been a product of a struggle. </w:t>
      </w:r>
    </w:p>
    <w:p w:rsidR="007E0F1F" w:rsidRPr="007E0F1F" w:rsidP="007E0F1F" w14:paraId="38DFCAAE" w14:textId="513502ED">
      <w:pPr>
        <w:jc w:val="both"/>
        <w:rPr>
          <w:rFonts w:ascii="Arial Narrow" w:hAnsi="Arial Narrow"/>
          <w:sz w:val="24"/>
          <w:szCs w:val="24"/>
          <w:lang w:val="en-US"/>
        </w:rPr>
      </w:pPr>
      <w:r w:rsidRPr="007E0F1F">
        <w:rPr>
          <w:rFonts w:ascii="Arial Narrow" w:hAnsi="Arial Narrow"/>
          <w:sz w:val="24"/>
          <w:szCs w:val="24"/>
          <w:lang w:val="en-US"/>
        </w:rPr>
        <w:t>Until recently,</w:t>
      </w:r>
      <w:r w:rsidRPr="00910346" w:rsidR="005D7B1D">
        <w:rPr>
          <w:rFonts w:ascii="Arial Narrow" w:hAnsi="Arial Narrow"/>
          <w:sz w:val="24"/>
          <w:szCs w:val="24"/>
          <w:lang w:val="en-US"/>
        </w:rPr>
        <w:t xml:space="preserve"> the right to</w:t>
      </w:r>
      <w:r w:rsidRPr="007E0F1F">
        <w:rPr>
          <w:rFonts w:ascii="Arial Narrow" w:hAnsi="Arial Narrow"/>
          <w:sz w:val="24"/>
          <w:szCs w:val="24"/>
          <w:lang w:val="en-US"/>
        </w:rPr>
        <w:t xml:space="preserve"> health in Uganda was only recognized in the National Objectives and Directive Principles of State Policy</w:t>
      </w:r>
      <w:r w:rsidRPr="00910346">
        <w:rPr>
          <w:rFonts w:ascii="Arial Narrow" w:hAnsi="Arial Narrow"/>
          <w:sz w:val="24"/>
          <w:szCs w:val="24"/>
          <w:lang w:val="en-US"/>
        </w:rPr>
        <w:t xml:space="preserve"> (NODPSP)</w:t>
      </w:r>
      <w:r w:rsidRPr="007E0F1F">
        <w:rPr>
          <w:rFonts w:ascii="Arial Narrow" w:hAnsi="Arial Narrow"/>
          <w:sz w:val="24"/>
          <w:szCs w:val="24"/>
          <w:lang w:val="en-US"/>
        </w:rPr>
        <w:t>. Through litigation</w:t>
      </w:r>
      <w:r w:rsidRPr="00910346">
        <w:rPr>
          <w:rFonts w:ascii="Arial Narrow" w:hAnsi="Arial Narrow"/>
          <w:sz w:val="24"/>
          <w:szCs w:val="24"/>
          <w:lang w:val="en-US"/>
        </w:rPr>
        <w:t xml:space="preserve"> advocacy</w:t>
      </w:r>
      <w:r w:rsidRPr="007E0F1F">
        <w:rPr>
          <w:rFonts w:ascii="Arial Narrow" w:hAnsi="Arial Narrow"/>
          <w:sz w:val="24"/>
          <w:szCs w:val="24"/>
          <w:lang w:val="en-US"/>
        </w:rPr>
        <w:t xml:space="preserve">, the constitutional court has now </w:t>
      </w:r>
      <w:hyperlink r:id="rId6" w:history="1">
        <w:r w:rsidRPr="007E0F1F">
          <w:rPr>
            <w:rStyle w:val="Hyperlink"/>
            <w:rFonts w:ascii="Arial Narrow" w:hAnsi="Arial Narrow"/>
            <w:sz w:val="24"/>
            <w:szCs w:val="24"/>
            <w:lang w:val="en-US"/>
          </w:rPr>
          <w:t>declared</w:t>
        </w:r>
      </w:hyperlink>
      <w:r w:rsidRPr="007E0F1F">
        <w:rPr>
          <w:rFonts w:ascii="Arial Narrow" w:hAnsi="Arial Narrow"/>
          <w:sz w:val="24"/>
          <w:szCs w:val="24"/>
          <w:lang w:val="en-US"/>
        </w:rPr>
        <w:t xml:space="preserve"> NODPSP justiciable which effectively recognizes the provisions therein on an equal footing with the rights enshrined in the Bill of Rights in the 1995 Constitution of the Republic of Uganda. </w:t>
      </w:r>
    </w:p>
    <w:p w:rsidR="00363BC4" w:rsidRPr="00910346" w:rsidP="006D0E0B" w14:paraId="6FAC58F3" w14:textId="6859B9A4">
      <w:pPr>
        <w:pStyle w:val="ListParagraph"/>
        <w:numPr>
          <w:ilvl w:val="0"/>
          <w:numId w:val="4"/>
        </w:numPr>
        <w:jc w:val="both"/>
        <w:rPr>
          <w:rFonts w:ascii="Arial Narrow" w:hAnsi="Arial Narrow"/>
          <w:b/>
          <w:bCs/>
          <w:sz w:val="24"/>
          <w:szCs w:val="24"/>
          <w:lang w:val="en-US"/>
        </w:rPr>
      </w:pPr>
      <w:r w:rsidRPr="00910346">
        <w:rPr>
          <w:rFonts w:ascii="Arial Narrow" w:hAnsi="Arial Narrow"/>
          <w:b/>
          <w:bCs/>
          <w:sz w:val="24"/>
          <w:szCs w:val="24"/>
          <w:lang w:val="en-US"/>
        </w:rPr>
        <w:t xml:space="preserve">Legal </w:t>
      </w:r>
      <w:r w:rsidRPr="00910346" w:rsidR="0042318E">
        <w:rPr>
          <w:rFonts w:ascii="Arial Narrow" w:hAnsi="Arial Narrow"/>
          <w:b/>
          <w:bCs/>
          <w:sz w:val="24"/>
          <w:szCs w:val="24"/>
          <w:lang w:val="en-US"/>
        </w:rPr>
        <w:t>Framework</w:t>
      </w:r>
      <w:r w:rsidRPr="00910346">
        <w:rPr>
          <w:rFonts w:ascii="Arial Narrow" w:hAnsi="Arial Narrow"/>
          <w:b/>
          <w:bCs/>
          <w:sz w:val="24"/>
          <w:szCs w:val="24"/>
          <w:lang w:val="en-US"/>
        </w:rPr>
        <w:t xml:space="preserve"> on the </w:t>
      </w:r>
      <w:r w:rsidRPr="00910346" w:rsidR="0042318E">
        <w:rPr>
          <w:rFonts w:ascii="Arial Narrow" w:hAnsi="Arial Narrow"/>
          <w:b/>
          <w:bCs/>
          <w:sz w:val="24"/>
          <w:szCs w:val="24"/>
          <w:lang w:val="en-US"/>
        </w:rPr>
        <w:t>Right</w:t>
      </w:r>
      <w:r w:rsidRPr="00910346">
        <w:rPr>
          <w:rFonts w:ascii="Arial Narrow" w:hAnsi="Arial Narrow"/>
          <w:b/>
          <w:bCs/>
          <w:sz w:val="24"/>
          <w:szCs w:val="24"/>
          <w:lang w:val="en-US"/>
        </w:rPr>
        <w:t xml:space="preserve"> to </w:t>
      </w:r>
      <w:r w:rsidRPr="00910346" w:rsidR="0042318E">
        <w:rPr>
          <w:rFonts w:ascii="Arial Narrow" w:hAnsi="Arial Narrow"/>
          <w:b/>
          <w:bCs/>
          <w:sz w:val="24"/>
          <w:szCs w:val="24"/>
          <w:lang w:val="en-US"/>
        </w:rPr>
        <w:t>H</w:t>
      </w:r>
      <w:r w:rsidRPr="00910346">
        <w:rPr>
          <w:rFonts w:ascii="Arial Narrow" w:hAnsi="Arial Narrow"/>
          <w:b/>
          <w:bCs/>
          <w:sz w:val="24"/>
          <w:szCs w:val="24"/>
          <w:lang w:val="en-US"/>
        </w:rPr>
        <w:t>ealth</w:t>
      </w:r>
    </w:p>
    <w:p w:rsidR="00717C10" w:rsidRPr="00717C10" w:rsidP="00717C10" w14:paraId="34F2F530" w14:textId="26A4FCFA">
      <w:pPr>
        <w:jc w:val="both"/>
        <w:rPr>
          <w:rFonts w:ascii="Arial Narrow" w:hAnsi="Arial Narrow"/>
          <w:sz w:val="24"/>
          <w:szCs w:val="24"/>
          <w:lang w:val="en-US"/>
        </w:rPr>
      </w:pPr>
      <w:r w:rsidRPr="00717C10">
        <w:rPr>
          <w:rFonts w:ascii="Arial Narrow" w:hAnsi="Arial Narrow"/>
          <w:sz w:val="24"/>
          <w:szCs w:val="24"/>
          <w:lang w:val="en-US"/>
        </w:rPr>
        <w:t>Uganda is a party to various international and regional human rights instruments that recognize the right to health.</w:t>
      </w:r>
    </w:p>
    <w:p w:rsidR="00797D4B" w:rsidRPr="00910346" w:rsidP="006D0E0B" w14:paraId="2010CDE8" w14:textId="538F28A0">
      <w:pPr>
        <w:pStyle w:val="ListParagraph"/>
        <w:numPr>
          <w:ilvl w:val="0"/>
          <w:numId w:val="5"/>
        </w:numPr>
        <w:jc w:val="both"/>
        <w:rPr>
          <w:rFonts w:ascii="Arial Narrow" w:hAnsi="Arial Narrow"/>
          <w:i/>
          <w:iCs/>
          <w:sz w:val="24"/>
          <w:szCs w:val="24"/>
          <w:lang w:val="en-US"/>
        </w:rPr>
      </w:pPr>
      <w:r w:rsidRPr="00910346">
        <w:rPr>
          <w:rFonts w:ascii="Arial Narrow" w:hAnsi="Arial Narrow"/>
          <w:i/>
          <w:iCs/>
          <w:sz w:val="24"/>
          <w:szCs w:val="24"/>
          <w:lang w:val="en-US"/>
        </w:rPr>
        <w:t>International Level</w:t>
      </w:r>
    </w:p>
    <w:p w:rsidR="00363BC4" w:rsidRPr="00910346" w:rsidP="005F107D" w14:paraId="601970D8" w14:textId="0C601C57">
      <w:pPr>
        <w:jc w:val="both"/>
        <w:rPr>
          <w:rFonts w:ascii="Arial Narrow" w:hAnsi="Arial Narrow"/>
          <w:sz w:val="24"/>
          <w:szCs w:val="24"/>
          <w:lang w:val="en-US"/>
        </w:rPr>
      </w:pPr>
      <w:r w:rsidRPr="00910346">
        <w:rPr>
          <w:rFonts w:ascii="Arial Narrow" w:hAnsi="Arial Narrow"/>
          <w:sz w:val="24"/>
          <w:szCs w:val="24"/>
          <w:lang w:val="en-US"/>
        </w:rPr>
        <w:t>The Universal Declaration of Human Rights</w:t>
      </w:r>
      <w:r w:rsidRPr="00910346" w:rsidR="00F41E83">
        <w:rPr>
          <w:rFonts w:ascii="Arial Narrow" w:hAnsi="Arial Narrow"/>
          <w:sz w:val="24"/>
          <w:szCs w:val="24"/>
          <w:lang w:val="en-US"/>
        </w:rPr>
        <w:t xml:space="preserve"> (UDHR)</w:t>
      </w:r>
      <w:r w:rsidRPr="00910346">
        <w:rPr>
          <w:rFonts w:ascii="Arial Narrow" w:hAnsi="Arial Narrow"/>
          <w:sz w:val="24"/>
          <w:szCs w:val="24"/>
          <w:lang w:val="en-US"/>
        </w:rPr>
        <w:t xml:space="preserve"> </w:t>
      </w:r>
      <w:r w:rsidRPr="00910346" w:rsidR="00560466">
        <w:rPr>
          <w:rFonts w:ascii="Arial Narrow" w:hAnsi="Arial Narrow"/>
          <w:sz w:val="24"/>
          <w:szCs w:val="24"/>
          <w:lang w:val="en-US"/>
        </w:rPr>
        <w:t>provides that</w:t>
      </w:r>
      <w:r w:rsidRPr="00910346">
        <w:rPr>
          <w:rFonts w:ascii="Arial Narrow" w:hAnsi="Arial Narrow"/>
          <w:sz w:val="24"/>
          <w:szCs w:val="24"/>
          <w:lang w:val="en-US"/>
        </w:rPr>
        <w:t xml:space="preserve"> </w:t>
      </w:r>
      <w:r w:rsidRPr="00910346" w:rsidR="00560466">
        <w:rPr>
          <w:rFonts w:ascii="Arial Narrow" w:hAnsi="Arial Narrow"/>
          <w:sz w:val="24"/>
          <w:szCs w:val="24"/>
          <w:lang w:val="en-US"/>
        </w:rPr>
        <w:t>everyone</w:t>
      </w:r>
      <w:r w:rsidRPr="00910346" w:rsidR="00560466">
        <w:rPr>
          <w:rFonts w:ascii="Arial Narrow" w:hAnsi="Arial Narrow"/>
          <w:sz w:val="24"/>
          <w:szCs w:val="24"/>
        </w:rPr>
        <w:t xml:space="preserve"> has the right to a standard of living adequate for the health of himself and his family, including food, clothing, housing medical care, and necessary social services, and the right to security in the event of unemployment, sickness, disability, widowhood, old age or other lack of livelihood in circumstances beyond his </w:t>
      </w:r>
      <w:r w:rsidRPr="00910346" w:rsidR="00560466">
        <w:rPr>
          <w:rFonts w:ascii="Arial Narrow" w:hAnsi="Arial Narrow"/>
          <w:sz w:val="24"/>
          <w:szCs w:val="24"/>
          <w:lang w:val="en-US"/>
        </w:rPr>
        <w:t>control</w:t>
      </w:r>
      <w:r>
        <w:rPr>
          <w:rStyle w:val="FootnoteReference"/>
          <w:rFonts w:ascii="Arial Narrow" w:hAnsi="Arial Narrow"/>
          <w:sz w:val="24"/>
          <w:szCs w:val="24"/>
          <w:lang w:val="en-US"/>
        </w:rPr>
        <w:footnoteReference w:id="4"/>
      </w:r>
      <w:r w:rsidRPr="00910346" w:rsidR="00560466">
        <w:rPr>
          <w:rFonts w:ascii="Arial Narrow" w:hAnsi="Arial Narrow"/>
          <w:sz w:val="24"/>
          <w:szCs w:val="24"/>
          <w:lang w:val="en-US"/>
        </w:rPr>
        <w:t>.</w:t>
      </w:r>
    </w:p>
    <w:p w:rsidR="00F41E83" w:rsidRPr="00910346" w:rsidP="005F107D" w14:paraId="7F242FF0" w14:textId="0A71B350">
      <w:pPr>
        <w:jc w:val="both"/>
        <w:rPr>
          <w:rFonts w:ascii="Arial Narrow" w:hAnsi="Arial Narrow"/>
          <w:sz w:val="24"/>
          <w:szCs w:val="24"/>
          <w:lang w:val="en-US"/>
        </w:rPr>
      </w:pPr>
      <w:r w:rsidRPr="00910346">
        <w:rPr>
          <w:rFonts w:ascii="Arial Narrow" w:hAnsi="Arial Narrow"/>
          <w:sz w:val="24"/>
          <w:szCs w:val="24"/>
        </w:rPr>
        <w:t xml:space="preserve">The </w:t>
      </w:r>
      <w:r w:rsidRPr="00910346">
        <w:rPr>
          <w:rFonts w:ascii="Arial Narrow" w:hAnsi="Arial Narrow"/>
          <w:sz w:val="24"/>
          <w:szCs w:val="24"/>
          <w:lang w:val="en-US"/>
        </w:rPr>
        <w:t>International Convention on Economic, Social</w:t>
      </w:r>
      <w:r w:rsidRPr="00910346" w:rsidR="00252A6B">
        <w:rPr>
          <w:rFonts w:ascii="Arial Narrow" w:hAnsi="Arial Narrow"/>
          <w:sz w:val="24"/>
          <w:szCs w:val="24"/>
          <w:lang w:val="en-US"/>
        </w:rPr>
        <w:t>,</w:t>
      </w:r>
      <w:r w:rsidRPr="00910346">
        <w:rPr>
          <w:rFonts w:ascii="Arial Narrow" w:hAnsi="Arial Narrow"/>
          <w:sz w:val="24"/>
          <w:szCs w:val="24"/>
          <w:lang w:val="en-US"/>
        </w:rPr>
        <w:t xml:space="preserve"> and Cultural Rights (I</w:t>
      </w:r>
      <w:r w:rsidRPr="00910346">
        <w:rPr>
          <w:rFonts w:ascii="Arial Narrow" w:hAnsi="Arial Narrow"/>
          <w:sz w:val="24"/>
          <w:szCs w:val="24"/>
        </w:rPr>
        <w:t>CESCR</w:t>
      </w:r>
      <w:r w:rsidRPr="00910346">
        <w:rPr>
          <w:rFonts w:ascii="Arial Narrow" w:hAnsi="Arial Narrow"/>
          <w:sz w:val="24"/>
          <w:szCs w:val="24"/>
          <w:lang w:val="en-US"/>
        </w:rPr>
        <w:t>)</w:t>
      </w:r>
      <w:r w:rsidRPr="00910346">
        <w:rPr>
          <w:rFonts w:ascii="Arial Narrow" w:hAnsi="Arial Narrow"/>
          <w:sz w:val="24"/>
          <w:szCs w:val="24"/>
        </w:rPr>
        <w:t>, provides for the right of everyone to the highest attainable standard of physical and mental health</w:t>
      </w:r>
      <w:r>
        <w:rPr>
          <w:rStyle w:val="FootnoteReference"/>
          <w:rFonts w:ascii="Arial Narrow" w:hAnsi="Arial Narrow"/>
          <w:sz w:val="24"/>
          <w:szCs w:val="24"/>
        </w:rPr>
        <w:footnoteReference w:id="5"/>
      </w:r>
      <w:r w:rsidRPr="00910346" w:rsidR="00C9457E">
        <w:rPr>
          <w:rFonts w:ascii="Arial Narrow" w:hAnsi="Arial Narrow"/>
          <w:sz w:val="24"/>
          <w:szCs w:val="24"/>
          <w:lang w:val="en-US"/>
        </w:rPr>
        <w:t>.</w:t>
      </w:r>
    </w:p>
    <w:p w:rsidR="00C9457E" w:rsidRPr="00910346" w:rsidP="005F107D" w14:paraId="31235E11" w14:textId="27C17914">
      <w:pPr>
        <w:jc w:val="both"/>
        <w:rPr>
          <w:rFonts w:ascii="Arial Narrow" w:hAnsi="Arial Narrow"/>
          <w:sz w:val="24"/>
          <w:szCs w:val="24"/>
          <w:lang w:val="en-US"/>
        </w:rPr>
      </w:pPr>
      <w:r w:rsidRPr="00910346">
        <w:rPr>
          <w:rFonts w:ascii="Arial Narrow" w:hAnsi="Arial Narrow"/>
          <w:sz w:val="24"/>
          <w:szCs w:val="24"/>
          <w:lang w:val="en-US"/>
        </w:rPr>
        <w:t xml:space="preserve">The Convention on Elimination of All Forms of Discrimination against Women (CEDAW) specifically deals with women's human rights and encourages state parties to </w:t>
      </w:r>
      <w:r w:rsidRPr="00910346">
        <w:rPr>
          <w:rFonts w:ascii="Arial Narrow" w:hAnsi="Arial Narrow"/>
          <w:sz w:val="24"/>
          <w:szCs w:val="24"/>
        </w:rPr>
        <w:t>take all appropriate measures to eliminate discrimination in the field of health care to ensure, based on equality of men and women, access to health care services, including those related to family planning</w:t>
      </w:r>
      <w:r>
        <w:rPr>
          <w:rStyle w:val="FootnoteReference"/>
          <w:rFonts w:ascii="Arial Narrow" w:hAnsi="Arial Narrow"/>
          <w:sz w:val="24"/>
          <w:szCs w:val="24"/>
        </w:rPr>
        <w:footnoteReference w:id="6"/>
      </w:r>
      <w:r w:rsidRPr="00910346">
        <w:rPr>
          <w:rFonts w:ascii="Arial Narrow" w:hAnsi="Arial Narrow"/>
          <w:sz w:val="24"/>
          <w:szCs w:val="24"/>
          <w:lang w:val="en-US"/>
        </w:rPr>
        <w:t>.</w:t>
      </w:r>
    </w:p>
    <w:p w:rsidR="00797D4B" w:rsidRPr="00910346" w:rsidP="006D0E0B" w14:paraId="0FF4E99D" w14:textId="30CBA5AE">
      <w:pPr>
        <w:pStyle w:val="ListParagraph"/>
        <w:numPr>
          <w:ilvl w:val="0"/>
          <w:numId w:val="5"/>
        </w:numPr>
        <w:jc w:val="both"/>
        <w:rPr>
          <w:rFonts w:ascii="Arial Narrow" w:hAnsi="Arial Narrow"/>
          <w:i/>
          <w:iCs/>
          <w:sz w:val="24"/>
          <w:szCs w:val="24"/>
          <w:lang w:val="en-US"/>
        </w:rPr>
      </w:pPr>
      <w:r w:rsidRPr="00910346">
        <w:rPr>
          <w:rFonts w:ascii="Arial Narrow" w:hAnsi="Arial Narrow"/>
          <w:i/>
          <w:iCs/>
          <w:sz w:val="24"/>
          <w:szCs w:val="24"/>
          <w:lang w:val="en-US"/>
        </w:rPr>
        <w:t>Regional Level</w:t>
      </w:r>
    </w:p>
    <w:p w:rsidR="00C9457E" w:rsidRPr="00910346" w:rsidP="005F107D" w14:paraId="58297689" w14:textId="64DA3F6A">
      <w:pPr>
        <w:jc w:val="both"/>
        <w:rPr>
          <w:rFonts w:ascii="Arial Narrow" w:hAnsi="Arial Narrow"/>
          <w:sz w:val="24"/>
          <w:szCs w:val="24"/>
          <w:lang w:val="en-US"/>
        </w:rPr>
      </w:pPr>
      <w:r w:rsidRPr="00910346">
        <w:rPr>
          <w:rFonts w:ascii="Arial Narrow" w:hAnsi="Arial Narrow"/>
          <w:sz w:val="24"/>
          <w:szCs w:val="24"/>
          <w:lang w:val="en-US"/>
        </w:rPr>
        <w:t xml:space="preserve">The African Charter on Human </w:t>
      </w:r>
      <w:r w:rsidRPr="00910346" w:rsidR="007825EE">
        <w:rPr>
          <w:rFonts w:ascii="Arial Narrow" w:hAnsi="Arial Narrow"/>
          <w:sz w:val="24"/>
          <w:szCs w:val="24"/>
          <w:lang w:val="en-US"/>
        </w:rPr>
        <w:t>and People’s Rights (</w:t>
      </w:r>
      <w:r w:rsidRPr="00910346">
        <w:rPr>
          <w:rFonts w:ascii="Arial Narrow" w:hAnsi="Arial Narrow"/>
          <w:sz w:val="24"/>
          <w:szCs w:val="24"/>
        </w:rPr>
        <w:t>ACHPR</w:t>
      </w:r>
      <w:r w:rsidRPr="00910346" w:rsidR="007825EE">
        <w:rPr>
          <w:rFonts w:ascii="Arial Narrow" w:hAnsi="Arial Narrow"/>
          <w:sz w:val="24"/>
          <w:szCs w:val="24"/>
          <w:lang w:val="en-US"/>
        </w:rPr>
        <w:t>)</w:t>
      </w:r>
      <w:r w:rsidRPr="00910346">
        <w:rPr>
          <w:rFonts w:ascii="Arial Narrow" w:hAnsi="Arial Narrow"/>
          <w:sz w:val="24"/>
          <w:szCs w:val="24"/>
        </w:rPr>
        <w:t xml:space="preserve"> guarantees the right to the best attainable state of physical and mental health. The ACHPR obliges state parties to take the necessary measures to protect the health of their people and to ensure that they receive medical attention when they are sick</w:t>
      </w:r>
      <w:r>
        <w:rPr>
          <w:rStyle w:val="FootnoteReference"/>
          <w:rFonts w:ascii="Arial Narrow" w:hAnsi="Arial Narrow"/>
          <w:sz w:val="24"/>
          <w:szCs w:val="24"/>
        </w:rPr>
        <w:footnoteReference w:id="7"/>
      </w:r>
      <w:r w:rsidRPr="00910346" w:rsidR="007825EE">
        <w:rPr>
          <w:rFonts w:ascii="Arial Narrow" w:hAnsi="Arial Narrow"/>
          <w:sz w:val="24"/>
          <w:szCs w:val="24"/>
          <w:lang w:val="en-US"/>
        </w:rPr>
        <w:t>.</w:t>
      </w:r>
    </w:p>
    <w:p w:rsidR="004851DA" w:rsidRPr="00910346" w:rsidP="005F107D" w14:paraId="12948738" w14:textId="3487E676">
      <w:pPr>
        <w:jc w:val="both"/>
        <w:rPr>
          <w:rFonts w:ascii="Arial Narrow" w:hAnsi="Arial Narrow"/>
          <w:sz w:val="24"/>
          <w:szCs w:val="24"/>
          <w:lang w:val="en-US"/>
        </w:rPr>
      </w:pPr>
      <w:r w:rsidRPr="00910346">
        <w:rPr>
          <w:rFonts w:ascii="Arial Narrow" w:hAnsi="Arial Narrow"/>
          <w:sz w:val="24"/>
          <w:szCs w:val="24"/>
          <w:lang w:val="en-US"/>
        </w:rPr>
        <w:t xml:space="preserve">The Protocol to the African Charter on Human and People’s Rights, i.e., the Maputo Protocol, is the only treaty that specifically deals with African women’s human rights. It enjoins state parties to </w:t>
      </w:r>
      <w:r w:rsidRPr="00910346">
        <w:rPr>
          <w:rFonts w:ascii="Arial Narrow" w:hAnsi="Arial Narrow"/>
          <w:sz w:val="24"/>
          <w:szCs w:val="24"/>
        </w:rPr>
        <w:t>ensure women's right to health, including sexual and reproductive health rights (SRHR)</w:t>
      </w:r>
      <w:r>
        <w:rPr>
          <w:rStyle w:val="FootnoteReference"/>
          <w:rFonts w:ascii="Arial Narrow" w:hAnsi="Arial Narrow"/>
          <w:sz w:val="24"/>
          <w:szCs w:val="24"/>
        </w:rPr>
        <w:footnoteReference w:id="8"/>
      </w:r>
      <w:r w:rsidRPr="00910346">
        <w:rPr>
          <w:rFonts w:ascii="Arial Narrow" w:hAnsi="Arial Narrow"/>
          <w:sz w:val="24"/>
          <w:szCs w:val="24"/>
          <w:lang w:val="en-US"/>
        </w:rPr>
        <w:t>.</w:t>
      </w:r>
    </w:p>
    <w:p w:rsidR="00AB4C8C" w:rsidRPr="00910346" w:rsidP="005F107D" w14:paraId="061CB828" w14:textId="6BBABB12">
      <w:pPr>
        <w:jc w:val="both"/>
        <w:rPr>
          <w:rFonts w:ascii="Arial Narrow" w:hAnsi="Arial Narrow"/>
          <w:sz w:val="24"/>
          <w:szCs w:val="24"/>
        </w:rPr>
      </w:pPr>
      <w:r w:rsidRPr="00910346">
        <w:rPr>
          <w:rFonts w:ascii="Arial Narrow" w:hAnsi="Arial Narrow"/>
          <w:sz w:val="24"/>
          <w:szCs w:val="24"/>
        </w:rPr>
        <w:t>The African Charter on the Rights and Welfare of the Child (ACRWC) guarantees every child the right to enjoy the best attainable state of physical, mental, and spiritual health.</w:t>
      </w:r>
      <w:r w:rsidRPr="00910346">
        <w:rPr>
          <w:rFonts w:ascii="Arial Narrow" w:hAnsi="Arial Narrow"/>
          <w:sz w:val="24"/>
          <w:szCs w:val="24"/>
          <w:lang w:val="en-US"/>
        </w:rPr>
        <w:t xml:space="preserve"> It enjoins state parties to</w:t>
      </w:r>
      <w:r w:rsidRPr="00910346">
        <w:rPr>
          <w:rFonts w:ascii="Arial Narrow" w:hAnsi="Arial Narrow"/>
          <w:sz w:val="24"/>
          <w:szCs w:val="24"/>
        </w:rPr>
        <w:t xml:space="preserve"> take measures to reduce infant and child mortality rates in addition to the provision of appropriate health care for pregnant women and nursing mothers</w:t>
      </w:r>
      <w:r>
        <w:rPr>
          <w:rStyle w:val="FootnoteReference"/>
          <w:rFonts w:ascii="Arial Narrow" w:hAnsi="Arial Narrow"/>
          <w:sz w:val="24"/>
          <w:szCs w:val="24"/>
        </w:rPr>
        <w:footnoteReference w:id="9"/>
      </w:r>
      <w:r w:rsidRPr="00910346">
        <w:rPr>
          <w:rFonts w:ascii="Arial Narrow" w:hAnsi="Arial Narrow"/>
          <w:sz w:val="24"/>
          <w:szCs w:val="24"/>
        </w:rPr>
        <w:t>.</w:t>
      </w:r>
    </w:p>
    <w:p w:rsidR="004851DA" w:rsidRPr="00910346" w:rsidP="006D0E0B" w14:paraId="42267BC5" w14:textId="1F088BAF">
      <w:pPr>
        <w:pStyle w:val="ListParagraph"/>
        <w:numPr>
          <w:ilvl w:val="0"/>
          <w:numId w:val="5"/>
        </w:numPr>
        <w:jc w:val="both"/>
        <w:rPr>
          <w:rFonts w:ascii="Arial Narrow" w:hAnsi="Arial Narrow"/>
          <w:i/>
          <w:iCs/>
          <w:sz w:val="24"/>
          <w:szCs w:val="24"/>
          <w:lang w:val="en-US"/>
        </w:rPr>
      </w:pPr>
      <w:r w:rsidRPr="00910346">
        <w:rPr>
          <w:rFonts w:ascii="Arial Narrow" w:hAnsi="Arial Narrow"/>
          <w:i/>
          <w:iCs/>
          <w:sz w:val="24"/>
          <w:szCs w:val="24"/>
          <w:lang w:val="en-US"/>
        </w:rPr>
        <w:t>National level</w:t>
      </w:r>
    </w:p>
    <w:p w:rsidR="004851DA" w:rsidRPr="00910346" w:rsidP="005F107D" w14:paraId="386DDF8A" w14:textId="578A67E2">
      <w:pPr>
        <w:jc w:val="both"/>
        <w:rPr>
          <w:rFonts w:ascii="Arial Narrow" w:hAnsi="Arial Narrow"/>
          <w:sz w:val="24"/>
          <w:szCs w:val="24"/>
          <w:lang w:val="en-US"/>
        </w:rPr>
      </w:pPr>
      <w:r w:rsidRPr="00910346">
        <w:rPr>
          <w:rFonts w:ascii="Arial Narrow" w:hAnsi="Arial Narrow"/>
          <w:sz w:val="24"/>
          <w:szCs w:val="24"/>
          <w:lang w:val="en-US"/>
        </w:rPr>
        <w:t>The Right to Health is not provided for in the Bill of Rights enshrined in the constitution. The Constitution contains several provisions that have a relationship with or a bearing on the right to health</w:t>
      </w:r>
      <w:r>
        <w:rPr>
          <w:rStyle w:val="FootnoteReference"/>
          <w:rFonts w:ascii="Arial Narrow" w:hAnsi="Arial Narrow"/>
          <w:sz w:val="24"/>
          <w:szCs w:val="24"/>
          <w:lang w:val="en-US"/>
        </w:rPr>
        <w:footnoteReference w:id="10"/>
      </w:r>
      <w:r w:rsidRPr="00910346">
        <w:rPr>
          <w:rFonts w:ascii="Arial Narrow" w:hAnsi="Arial Narrow"/>
          <w:sz w:val="24"/>
          <w:szCs w:val="24"/>
          <w:lang w:val="en-US"/>
        </w:rPr>
        <w:t>.</w:t>
      </w:r>
      <w:r w:rsidRPr="00910346" w:rsidR="004065B9">
        <w:rPr>
          <w:rFonts w:ascii="Arial Narrow" w:hAnsi="Arial Narrow"/>
          <w:sz w:val="24"/>
          <w:szCs w:val="24"/>
          <w:lang w:val="en-US"/>
        </w:rPr>
        <w:t xml:space="preserve"> The constitution stipulated that </w:t>
      </w:r>
      <w:r w:rsidRPr="00910346" w:rsidR="004065B9">
        <w:rPr>
          <w:rFonts w:ascii="Arial Narrow" w:hAnsi="Arial Narrow"/>
          <w:sz w:val="24"/>
          <w:szCs w:val="24"/>
        </w:rPr>
        <w:t>Uganda shall be governed based on principles of national interest and the common good enshrined in the national objectives and directive principles of state policy</w:t>
      </w:r>
      <w:r>
        <w:rPr>
          <w:rStyle w:val="FootnoteReference"/>
          <w:rFonts w:ascii="Arial Narrow" w:hAnsi="Arial Narrow"/>
          <w:sz w:val="24"/>
          <w:szCs w:val="24"/>
        </w:rPr>
        <w:footnoteReference w:id="11"/>
      </w:r>
      <w:r w:rsidRPr="00910346" w:rsidR="004065B9">
        <w:rPr>
          <w:rFonts w:ascii="Arial Narrow" w:hAnsi="Arial Narrow"/>
          <w:sz w:val="24"/>
          <w:szCs w:val="24"/>
          <w:lang w:val="en-US"/>
        </w:rPr>
        <w:t xml:space="preserve">. </w:t>
      </w:r>
      <w:r w:rsidRPr="00910346" w:rsidR="00876EFE">
        <w:rPr>
          <w:rFonts w:ascii="Arial Narrow" w:hAnsi="Arial Narrow"/>
          <w:sz w:val="24"/>
          <w:szCs w:val="24"/>
          <w:lang w:val="en-US"/>
        </w:rPr>
        <w:t xml:space="preserve">The constitution also recognizes the Right to Health in so far as it provides to the effect that </w:t>
      </w:r>
      <w:r w:rsidRPr="00910346" w:rsidR="00876EFE">
        <w:rPr>
          <w:rFonts w:ascii="Arial Narrow" w:hAnsi="Arial Narrow"/>
          <w:sz w:val="24"/>
          <w:szCs w:val="24"/>
          <w:lang w:val="en-US"/>
        </w:rPr>
        <w:t>th</w:t>
      </w:r>
      <w:r w:rsidRPr="00910346" w:rsidR="00876EFE">
        <w:rPr>
          <w:rFonts w:ascii="Arial Narrow" w:hAnsi="Arial Narrow"/>
          <w:sz w:val="24"/>
          <w:szCs w:val="24"/>
        </w:rPr>
        <w:t xml:space="preserve">e rights, duties, declarations, and guarantees relating to the fundamental and other human rights and freedoms specifically mentioned in </w:t>
      </w:r>
      <w:r w:rsidRPr="00910346" w:rsidR="00876EFE">
        <w:rPr>
          <w:rFonts w:ascii="Arial Narrow" w:hAnsi="Arial Narrow"/>
          <w:sz w:val="24"/>
          <w:szCs w:val="24"/>
          <w:lang w:val="en-US"/>
        </w:rPr>
        <w:t>the Bill of Rights are not regarded to exclude other rights</w:t>
      </w:r>
      <w:r w:rsidRPr="00910346" w:rsidR="00876EFE">
        <w:rPr>
          <w:rFonts w:ascii="Arial Narrow" w:hAnsi="Arial Narrow"/>
          <w:sz w:val="24"/>
          <w:szCs w:val="24"/>
        </w:rPr>
        <w:t xml:space="preserve"> not specifically mentioned</w:t>
      </w:r>
      <w:r w:rsidRPr="00910346" w:rsidR="00876EFE">
        <w:rPr>
          <w:rFonts w:ascii="Arial Narrow" w:hAnsi="Arial Narrow"/>
          <w:sz w:val="24"/>
          <w:szCs w:val="24"/>
          <w:lang w:val="en-US"/>
        </w:rPr>
        <w:t xml:space="preserve"> </w:t>
      </w:r>
      <w:r w:rsidRPr="00910346" w:rsidR="00F61ED9">
        <w:rPr>
          <w:rFonts w:ascii="Arial Narrow" w:hAnsi="Arial Narrow"/>
          <w:sz w:val="24"/>
          <w:szCs w:val="24"/>
          <w:lang w:val="en-US"/>
        </w:rPr>
        <w:t>therein</w:t>
      </w:r>
      <w:r>
        <w:rPr>
          <w:rStyle w:val="FootnoteReference"/>
          <w:rFonts w:ascii="Arial Narrow" w:hAnsi="Arial Narrow"/>
          <w:sz w:val="24"/>
          <w:szCs w:val="24"/>
          <w:lang w:val="en-US"/>
        </w:rPr>
        <w:footnoteReference w:id="12"/>
      </w:r>
      <w:r w:rsidRPr="00910346" w:rsidR="00876EFE">
        <w:rPr>
          <w:rFonts w:ascii="Arial Narrow" w:hAnsi="Arial Narrow"/>
          <w:sz w:val="24"/>
          <w:szCs w:val="24"/>
          <w:lang w:val="en-US"/>
        </w:rPr>
        <w:t>.</w:t>
      </w:r>
    </w:p>
    <w:p w:rsidR="00252A6B" w:rsidRPr="00910346" w:rsidP="005F107D" w14:paraId="4DF3C2D3" w14:textId="2DE7FA10">
      <w:pPr>
        <w:jc w:val="both"/>
        <w:rPr>
          <w:rFonts w:ascii="Arial Narrow" w:hAnsi="Arial Narrow"/>
          <w:i/>
          <w:iCs/>
          <w:sz w:val="24"/>
          <w:szCs w:val="24"/>
          <w:lang w:val="en-US"/>
        </w:rPr>
      </w:pPr>
      <w:r w:rsidRPr="00910346">
        <w:rPr>
          <w:rFonts w:ascii="Arial Narrow" w:hAnsi="Arial Narrow"/>
          <w:i/>
          <w:iCs/>
          <w:sz w:val="24"/>
          <w:szCs w:val="24"/>
          <w:lang w:val="en-US"/>
        </w:rPr>
        <w:t xml:space="preserve">National Objective and Directive Principles of </w:t>
      </w:r>
      <w:r w:rsidRPr="00910346" w:rsidR="00BE78C4">
        <w:rPr>
          <w:rFonts w:ascii="Arial Narrow" w:hAnsi="Arial Narrow"/>
          <w:i/>
          <w:iCs/>
          <w:sz w:val="24"/>
          <w:szCs w:val="24"/>
          <w:lang w:val="en-US"/>
        </w:rPr>
        <w:t>State Policy</w:t>
      </w:r>
    </w:p>
    <w:p w:rsidR="00252A6B" w:rsidRPr="00910346" w:rsidP="00252A6B" w14:paraId="0BC4313F" w14:textId="6D3E0494">
      <w:pPr>
        <w:pStyle w:val="ListParagraph"/>
        <w:numPr>
          <w:ilvl w:val="0"/>
          <w:numId w:val="2"/>
        </w:numPr>
        <w:jc w:val="both"/>
        <w:rPr>
          <w:rFonts w:ascii="Arial Narrow" w:hAnsi="Arial Narrow"/>
          <w:sz w:val="24"/>
          <w:szCs w:val="24"/>
          <w:lang w:val="en-US"/>
        </w:rPr>
      </w:pPr>
      <w:r w:rsidRPr="00910346">
        <w:rPr>
          <w:rFonts w:ascii="Arial Narrow" w:hAnsi="Arial Narrow"/>
          <w:sz w:val="24"/>
          <w:szCs w:val="24"/>
        </w:rPr>
        <w:t>T</w:t>
      </w:r>
      <w:r w:rsidRPr="00910346">
        <w:rPr>
          <w:rFonts w:ascii="Arial Narrow" w:hAnsi="Arial Narrow"/>
          <w:sz w:val="24"/>
          <w:szCs w:val="24"/>
        </w:rPr>
        <w:t>he</w:t>
      </w:r>
      <w:r w:rsidRPr="00910346">
        <w:rPr>
          <w:rFonts w:ascii="Arial Narrow" w:hAnsi="Arial Narrow"/>
          <w:sz w:val="24"/>
          <w:szCs w:val="24"/>
          <w:lang w:val="en-US"/>
        </w:rPr>
        <w:t xml:space="preserve"> </w:t>
      </w:r>
      <w:r w:rsidRPr="00910346">
        <w:rPr>
          <w:rFonts w:ascii="Arial Narrow" w:hAnsi="Arial Narrow"/>
          <w:sz w:val="24"/>
          <w:szCs w:val="24"/>
        </w:rPr>
        <w:t>state</w:t>
      </w:r>
      <w:r w:rsidRPr="00910346">
        <w:rPr>
          <w:rFonts w:ascii="Arial Narrow" w:hAnsi="Arial Narrow"/>
          <w:sz w:val="24"/>
          <w:szCs w:val="24"/>
          <w:lang w:val="en-US"/>
        </w:rPr>
        <w:t xml:space="preserve"> is enjoined</w:t>
      </w:r>
      <w:r w:rsidRPr="00910346">
        <w:rPr>
          <w:rFonts w:ascii="Arial Narrow" w:hAnsi="Arial Narrow"/>
          <w:sz w:val="24"/>
          <w:szCs w:val="24"/>
        </w:rPr>
        <w:t xml:space="preserve"> to promote the social well-being of the people and in particular to ensure that all Ugandans enjoy rights and opportunities and access, amongst other things, to education, health services, clean and safe water, food security</w:t>
      </w:r>
      <w:r w:rsidRPr="00910346" w:rsidR="00B418EE">
        <w:rPr>
          <w:rFonts w:ascii="Arial Narrow" w:hAnsi="Arial Narrow"/>
          <w:sz w:val="24"/>
          <w:szCs w:val="24"/>
        </w:rPr>
        <w:t>,</w:t>
      </w:r>
      <w:r w:rsidRPr="00910346">
        <w:rPr>
          <w:rFonts w:ascii="Arial Narrow" w:hAnsi="Arial Narrow"/>
          <w:sz w:val="24"/>
          <w:szCs w:val="24"/>
        </w:rPr>
        <w:t xml:space="preserve"> and adequate housing</w:t>
      </w:r>
      <w:r>
        <w:rPr>
          <w:rStyle w:val="FootnoteReference"/>
          <w:rFonts w:ascii="Arial Narrow" w:hAnsi="Arial Narrow"/>
          <w:sz w:val="24"/>
          <w:szCs w:val="24"/>
        </w:rPr>
        <w:footnoteReference w:id="13"/>
      </w:r>
      <w:r w:rsidRPr="00910346">
        <w:rPr>
          <w:rFonts w:ascii="Arial Narrow" w:hAnsi="Arial Narrow"/>
          <w:sz w:val="24"/>
          <w:szCs w:val="24"/>
          <w:lang w:val="en-US"/>
        </w:rPr>
        <w:t>.</w:t>
      </w:r>
    </w:p>
    <w:p w:rsidR="00252A6B" w:rsidRPr="00910346" w:rsidP="00252A6B" w14:paraId="7F2D82CD" w14:textId="6357512A">
      <w:pPr>
        <w:pStyle w:val="ListParagraph"/>
        <w:numPr>
          <w:ilvl w:val="0"/>
          <w:numId w:val="2"/>
        </w:numPr>
        <w:jc w:val="both"/>
        <w:rPr>
          <w:rFonts w:ascii="Arial Narrow" w:hAnsi="Arial Narrow"/>
          <w:sz w:val="24"/>
          <w:szCs w:val="24"/>
          <w:lang w:val="en-US"/>
        </w:rPr>
      </w:pPr>
      <w:r w:rsidRPr="00910346">
        <w:rPr>
          <w:rFonts w:ascii="Arial Narrow" w:hAnsi="Arial Narrow"/>
          <w:sz w:val="24"/>
          <w:szCs w:val="24"/>
        </w:rPr>
        <w:t>The state is also enjoined to take all practical measures ‘to ensure the provision of basic medical services to the population</w:t>
      </w:r>
      <w:r>
        <w:rPr>
          <w:rStyle w:val="FootnoteReference"/>
          <w:rFonts w:ascii="Arial Narrow" w:hAnsi="Arial Narrow"/>
          <w:sz w:val="24"/>
          <w:szCs w:val="24"/>
        </w:rPr>
        <w:footnoteReference w:id="14"/>
      </w:r>
      <w:r w:rsidRPr="00910346">
        <w:rPr>
          <w:rFonts w:ascii="Arial Narrow" w:hAnsi="Arial Narrow"/>
          <w:sz w:val="24"/>
          <w:szCs w:val="24"/>
          <w:lang w:val="en-US"/>
        </w:rPr>
        <w:t>.</w:t>
      </w:r>
    </w:p>
    <w:p w:rsidR="00252A6B" w:rsidRPr="00910346" w:rsidP="00252A6B" w14:paraId="47E49F5A" w14:textId="162AA7CB">
      <w:pPr>
        <w:pStyle w:val="ListParagraph"/>
        <w:numPr>
          <w:ilvl w:val="0"/>
          <w:numId w:val="2"/>
        </w:numPr>
        <w:jc w:val="both"/>
        <w:rPr>
          <w:rFonts w:ascii="Arial Narrow" w:hAnsi="Arial Narrow"/>
          <w:sz w:val="24"/>
          <w:szCs w:val="24"/>
          <w:lang w:val="en-US"/>
        </w:rPr>
      </w:pPr>
      <w:r w:rsidRPr="00910346">
        <w:rPr>
          <w:rFonts w:ascii="Arial Narrow" w:hAnsi="Arial Narrow"/>
          <w:sz w:val="24"/>
          <w:szCs w:val="24"/>
          <w:lang w:val="en-US"/>
        </w:rPr>
        <w:t xml:space="preserve">The state is enjoined </w:t>
      </w:r>
      <w:r w:rsidRPr="00910346">
        <w:rPr>
          <w:rFonts w:ascii="Arial Narrow" w:hAnsi="Arial Narrow"/>
          <w:sz w:val="24"/>
          <w:szCs w:val="24"/>
        </w:rPr>
        <w:t>to promote a good water management system at all levels</w:t>
      </w:r>
      <w:r>
        <w:rPr>
          <w:rStyle w:val="FootnoteReference"/>
          <w:rFonts w:ascii="Arial Narrow" w:hAnsi="Arial Narrow"/>
          <w:sz w:val="24"/>
          <w:szCs w:val="24"/>
        </w:rPr>
        <w:footnoteReference w:id="15"/>
      </w:r>
      <w:r w:rsidRPr="00910346">
        <w:rPr>
          <w:rFonts w:ascii="Arial Narrow" w:hAnsi="Arial Narrow"/>
          <w:sz w:val="24"/>
          <w:szCs w:val="24"/>
          <w:lang w:val="en-US"/>
        </w:rPr>
        <w:t>.</w:t>
      </w:r>
    </w:p>
    <w:p w:rsidR="00252A6B" w:rsidRPr="00910346" w:rsidP="00252A6B" w14:paraId="0B03BC6C" w14:textId="65661E82">
      <w:pPr>
        <w:pStyle w:val="ListParagraph"/>
        <w:numPr>
          <w:ilvl w:val="0"/>
          <w:numId w:val="2"/>
        </w:numPr>
        <w:jc w:val="both"/>
        <w:rPr>
          <w:rFonts w:ascii="Arial Narrow" w:hAnsi="Arial Narrow"/>
          <w:sz w:val="24"/>
          <w:szCs w:val="24"/>
          <w:lang w:val="en-US"/>
        </w:rPr>
      </w:pPr>
      <w:r w:rsidRPr="00910346">
        <w:rPr>
          <w:rFonts w:ascii="Arial Narrow" w:hAnsi="Arial Narrow"/>
          <w:sz w:val="24"/>
          <w:szCs w:val="24"/>
        </w:rPr>
        <w:t>The state</w:t>
      </w:r>
      <w:r w:rsidRPr="00910346">
        <w:rPr>
          <w:rFonts w:ascii="Arial Narrow" w:hAnsi="Arial Narrow"/>
          <w:sz w:val="24"/>
          <w:szCs w:val="24"/>
          <w:lang w:val="en-US"/>
        </w:rPr>
        <w:t xml:space="preserve"> is obliged</w:t>
      </w:r>
      <w:r w:rsidRPr="00910346">
        <w:rPr>
          <w:rFonts w:ascii="Arial Narrow" w:hAnsi="Arial Narrow"/>
          <w:sz w:val="24"/>
          <w:szCs w:val="24"/>
        </w:rPr>
        <w:t xml:space="preserve"> to encourage and promote proper nutrition through mass education and other appropriate means to build a healthy State</w:t>
      </w:r>
      <w:r>
        <w:rPr>
          <w:rStyle w:val="FootnoteReference"/>
          <w:rFonts w:ascii="Arial Narrow" w:hAnsi="Arial Narrow"/>
          <w:sz w:val="24"/>
          <w:szCs w:val="24"/>
        </w:rPr>
        <w:footnoteReference w:id="16"/>
      </w:r>
      <w:r w:rsidRPr="00910346">
        <w:rPr>
          <w:rFonts w:ascii="Arial Narrow" w:hAnsi="Arial Narrow"/>
          <w:sz w:val="24"/>
          <w:szCs w:val="24"/>
          <w:lang w:val="en-US"/>
        </w:rPr>
        <w:t>.</w:t>
      </w:r>
    </w:p>
    <w:p w:rsidR="00717C10" w:rsidRPr="00910346" w:rsidP="00B05742" w14:paraId="0D700B2C" w14:textId="404ACAB1">
      <w:pPr>
        <w:jc w:val="both"/>
        <w:rPr>
          <w:rFonts w:ascii="Arial Narrow" w:hAnsi="Arial Narrow"/>
          <w:sz w:val="24"/>
          <w:szCs w:val="24"/>
          <w:lang w:val="en-US"/>
        </w:rPr>
      </w:pPr>
      <w:r w:rsidRPr="00910346">
        <w:rPr>
          <w:rFonts w:ascii="Arial Narrow" w:hAnsi="Arial Narrow"/>
          <w:sz w:val="24"/>
          <w:szCs w:val="24"/>
          <w:lang w:val="en-US"/>
        </w:rPr>
        <w:t xml:space="preserve">Health </w:t>
      </w:r>
      <w:r w:rsidRPr="00910346">
        <w:rPr>
          <w:rFonts w:ascii="Arial Narrow" w:hAnsi="Arial Narrow"/>
          <w:sz w:val="24"/>
          <w:szCs w:val="24"/>
        </w:rPr>
        <w:t>can also be found in acts of Parliament which include the Public Health Act</w:t>
      </w:r>
      <w:r w:rsidRPr="00910346" w:rsidR="00144F8E">
        <w:rPr>
          <w:rFonts w:ascii="Arial Narrow" w:hAnsi="Arial Narrow"/>
          <w:sz w:val="24"/>
          <w:szCs w:val="24"/>
          <w:lang w:val="en-US"/>
        </w:rPr>
        <w:t xml:space="preserve"> (as amended)</w:t>
      </w:r>
      <w:r w:rsidRPr="00910346">
        <w:rPr>
          <w:rFonts w:ascii="Arial Narrow" w:hAnsi="Arial Narrow"/>
          <w:sz w:val="24"/>
          <w:szCs w:val="24"/>
        </w:rPr>
        <w:t xml:space="preserve">, Insurance Act 6 of 2017, the Medical and Dental Practitioners Act Cap 272, the Nurses and Midwives Act Cap 274, the Allied Health Professionals Act Cap 268, </w:t>
      </w:r>
      <w:r w:rsidRPr="00910346" w:rsidR="00144F8E">
        <w:rPr>
          <w:rFonts w:ascii="Arial Narrow" w:hAnsi="Arial Narrow"/>
          <w:sz w:val="24"/>
          <w:szCs w:val="24"/>
          <w:lang w:val="en-US"/>
        </w:rPr>
        <w:t>The Mental Health Act, 2028,</w:t>
      </w:r>
      <w:r w:rsidRPr="00910346">
        <w:rPr>
          <w:rFonts w:ascii="Arial Narrow" w:hAnsi="Arial Narrow"/>
          <w:sz w:val="24"/>
          <w:szCs w:val="24"/>
        </w:rPr>
        <w:t xml:space="preserve"> National Medical Stores Act Cap 207 and </w:t>
      </w:r>
      <w:r w:rsidRPr="00910346" w:rsidR="00144F8E">
        <w:rPr>
          <w:rFonts w:ascii="Arial Narrow" w:hAnsi="Arial Narrow"/>
          <w:sz w:val="24"/>
          <w:szCs w:val="24"/>
          <w:lang w:val="en-US"/>
        </w:rPr>
        <w:t>various policies and strategies passed by government ministries.</w:t>
      </w:r>
    </w:p>
    <w:p w:rsidR="003C2352" w:rsidRPr="00910346" w:rsidP="006D0E0B" w14:paraId="5B8D178A" w14:textId="07307088">
      <w:pPr>
        <w:pStyle w:val="ListParagraph"/>
        <w:numPr>
          <w:ilvl w:val="0"/>
          <w:numId w:val="4"/>
        </w:numPr>
        <w:jc w:val="both"/>
        <w:rPr>
          <w:rFonts w:ascii="Arial Narrow" w:hAnsi="Arial Narrow"/>
          <w:b/>
          <w:bCs/>
          <w:sz w:val="24"/>
          <w:szCs w:val="24"/>
          <w:lang w:val="en-US"/>
        </w:rPr>
      </w:pPr>
      <w:r w:rsidRPr="00910346">
        <w:rPr>
          <w:rFonts w:ascii="Arial Narrow" w:hAnsi="Arial Narrow"/>
          <w:b/>
          <w:bCs/>
          <w:sz w:val="24"/>
          <w:szCs w:val="24"/>
          <w:lang w:val="en-US"/>
        </w:rPr>
        <w:t xml:space="preserve">CEHURD: A </w:t>
      </w:r>
      <w:r w:rsidR="00F21221">
        <w:rPr>
          <w:rFonts w:ascii="Arial Narrow" w:hAnsi="Arial Narrow"/>
          <w:b/>
          <w:bCs/>
          <w:sz w:val="24"/>
          <w:szCs w:val="24"/>
          <w:lang w:val="en-US"/>
        </w:rPr>
        <w:t xml:space="preserve">Key Player </w:t>
      </w:r>
      <w:r w:rsidRPr="00910346" w:rsidR="007E0F1F">
        <w:rPr>
          <w:rFonts w:ascii="Arial Narrow" w:hAnsi="Arial Narrow"/>
          <w:b/>
          <w:bCs/>
          <w:sz w:val="24"/>
          <w:szCs w:val="24"/>
          <w:lang w:val="en-US"/>
        </w:rPr>
        <w:t>for Health Policy and the Law</w:t>
      </w:r>
    </w:p>
    <w:p w:rsidR="007E0F1F" w:rsidRPr="00910346" w:rsidP="00B05742" w14:paraId="19F47833" w14:textId="525FAA04">
      <w:pPr>
        <w:jc w:val="both"/>
        <w:rPr>
          <w:rFonts w:ascii="Arial Narrow" w:hAnsi="Arial Narrow"/>
          <w:i/>
          <w:iCs/>
          <w:sz w:val="24"/>
          <w:szCs w:val="24"/>
          <w:lang w:val="en-US"/>
        </w:rPr>
      </w:pPr>
      <w:r w:rsidRPr="00910346">
        <w:rPr>
          <w:rFonts w:ascii="Arial Narrow" w:hAnsi="Arial Narrow"/>
          <w:i/>
          <w:iCs/>
          <w:sz w:val="24"/>
          <w:szCs w:val="24"/>
          <w:lang w:val="en-US"/>
        </w:rPr>
        <w:t xml:space="preserve">a. </w:t>
      </w:r>
      <w:r w:rsidR="00495C02">
        <w:rPr>
          <w:rFonts w:ascii="Arial Narrow" w:hAnsi="Arial Narrow"/>
          <w:i/>
          <w:iCs/>
          <w:sz w:val="24"/>
          <w:szCs w:val="24"/>
          <w:lang w:val="en-US"/>
        </w:rPr>
        <w:t>Pioneering the Right to Health</w:t>
      </w:r>
    </w:p>
    <w:p w:rsidR="00FF3EDA" w:rsidRPr="00910346" w:rsidP="00B05742" w14:paraId="7E8313F3" w14:textId="77777777">
      <w:pPr>
        <w:jc w:val="both"/>
        <w:rPr>
          <w:rFonts w:ascii="Arial Narrow" w:hAnsi="Arial Narrow"/>
          <w:sz w:val="24"/>
          <w:szCs w:val="24"/>
          <w:lang w:val="en-US"/>
        </w:rPr>
      </w:pPr>
      <w:r w:rsidRPr="00910346">
        <w:rPr>
          <w:rFonts w:ascii="Arial Narrow" w:hAnsi="Arial Narrow"/>
          <w:sz w:val="24"/>
          <w:szCs w:val="24"/>
        </w:rPr>
        <w:t>The story of Health Policy and the Law in Uganda would be incomplete without acknowledging the pivotal role played by CEHURD</w:t>
      </w:r>
      <w:r w:rsidRPr="00910346">
        <w:rPr>
          <w:rFonts w:ascii="Arial Narrow" w:hAnsi="Arial Narrow"/>
          <w:sz w:val="24"/>
          <w:szCs w:val="24"/>
          <w:lang w:val="en-US"/>
        </w:rPr>
        <w:t>.</w:t>
      </w:r>
    </w:p>
    <w:p w:rsidR="007E0F1F" w:rsidRPr="00910346" w:rsidP="00B05742" w14:paraId="09E8823B" w14:textId="5E264DCA">
      <w:pPr>
        <w:jc w:val="both"/>
        <w:rPr>
          <w:rFonts w:ascii="Arial Narrow" w:hAnsi="Arial Narrow"/>
          <w:sz w:val="24"/>
          <w:szCs w:val="24"/>
          <w:lang w:val="en-US"/>
        </w:rPr>
      </w:pPr>
      <w:r w:rsidRPr="00910346">
        <w:rPr>
          <w:rFonts w:ascii="Arial Narrow" w:hAnsi="Arial Narrow"/>
          <w:sz w:val="24"/>
          <w:szCs w:val="24"/>
          <w:lang w:val="en-US"/>
        </w:rPr>
        <w:t xml:space="preserve">Founded in 2009, </w:t>
      </w:r>
      <w:r w:rsidRPr="00910346">
        <w:rPr>
          <w:rFonts w:ascii="Arial Narrow" w:hAnsi="Arial Narrow"/>
          <w:sz w:val="24"/>
          <w:szCs w:val="24"/>
        </w:rPr>
        <w:t>CEHURD is a non-profit, research and advocacy organization that is pioneering the justiciability of the right to health</w:t>
      </w:r>
      <w:r w:rsidRPr="00910346">
        <w:rPr>
          <w:rFonts w:ascii="Arial Narrow" w:hAnsi="Arial Narrow"/>
          <w:sz w:val="24"/>
          <w:szCs w:val="24"/>
          <w:lang w:val="en-US"/>
        </w:rPr>
        <w:t>.</w:t>
      </w:r>
    </w:p>
    <w:p w:rsidR="00F81AE1" w:rsidRPr="00910346" w:rsidP="00B05742" w14:paraId="2ED76C91" w14:textId="0F4405DC">
      <w:pPr>
        <w:jc w:val="both"/>
        <w:rPr>
          <w:rFonts w:ascii="Arial Narrow" w:hAnsi="Arial Narrow"/>
          <w:sz w:val="24"/>
          <w:szCs w:val="24"/>
          <w:lang w:val="en-US"/>
        </w:rPr>
      </w:pPr>
      <w:r w:rsidRPr="00910346">
        <w:rPr>
          <w:rFonts w:ascii="Arial Narrow" w:hAnsi="Arial Narrow"/>
          <w:sz w:val="24"/>
          <w:szCs w:val="24"/>
          <w:lang w:val="en-US"/>
        </w:rPr>
        <w:t xml:space="preserve">The founding Executive Director Moses Mulumba, </w:t>
      </w:r>
      <w:r w:rsidRPr="00910346" w:rsidR="007E0F1F">
        <w:rPr>
          <w:rFonts w:ascii="Arial Narrow" w:hAnsi="Arial Narrow"/>
          <w:sz w:val="24"/>
          <w:szCs w:val="24"/>
          <w:lang w:val="en-US"/>
        </w:rPr>
        <w:t xml:space="preserve">is </w:t>
      </w:r>
      <w:r w:rsidRPr="00910346">
        <w:rPr>
          <w:rFonts w:ascii="Arial Narrow" w:hAnsi="Arial Narrow"/>
          <w:sz w:val="24"/>
          <w:szCs w:val="24"/>
          <w:lang w:val="en-US"/>
        </w:rPr>
        <w:t>a former student of Health and the Law class under the stewardship of Prof</w:t>
      </w:r>
      <w:r w:rsidRPr="00910346" w:rsidR="00250FDD">
        <w:rPr>
          <w:rFonts w:ascii="Arial Narrow" w:hAnsi="Arial Narrow"/>
          <w:sz w:val="24"/>
          <w:szCs w:val="24"/>
          <w:lang w:val="en-US"/>
        </w:rPr>
        <w:t>.</w:t>
      </w:r>
      <w:r w:rsidRPr="00910346">
        <w:rPr>
          <w:rFonts w:ascii="Arial Narrow" w:hAnsi="Arial Narrow"/>
          <w:sz w:val="24"/>
          <w:szCs w:val="24"/>
          <w:lang w:val="en-US"/>
        </w:rPr>
        <w:t xml:space="preserve"> Ben K Twinomugisha at Makerere University,</w:t>
      </w:r>
      <w:r w:rsidRPr="00910346" w:rsidR="007E0F1F">
        <w:rPr>
          <w:rFonts w:ascii="Arial Narrow" w:hAnsi="Arial Narrow"/>
          <w:sz w:val="24"/>
          <w:szCs w:val="24"/>
          <w:lang w:val="en-US"/>
        </w:rPr>
        <w:t xml:space="preserve"> who</w:t>
      </w:r>
      <w:r w:rsidRPr="00910346">
        <w:rPr>
          <w:rFonts w:ascii="Arial Narrow" w:hAnsi="Arial Narrow"/>
          <w:sz w:val="24"/>
          <w:szCs w:val="24"/>
          <w:lang w:val="en-US"/>
        </w:rPr>
        <w:t xml:space="preserve"> actualized his </w:t>
      </w:r>
      <w:r w:rsidRPr="00910346" w:rsidR="009A5AAC">
        <w:rPr>
          <w:rFonts w:ascii="Arial Narrow" w:hAnsi="Arial Narrow"/>
          <w:sz w:val="24"/>
          <w:szCs w:val="24"/>
          <w:lang w:val="en-US"/>
        </w:rPr>
        <w:t xml:space="preserve">classroom knowledge and passion for social justice in health by establishing the </w:t>
      </w:r>
      <w:r w:rsidRPr="00910346" w:rsidR="005D7B1D">
        <w:rPr>
          <w:rFonts w:ascii="Arial Narrow" w:hAnsi="Arial Narrow"/>
          <w:sz w:val="24"/>
          <w:szCs w:val="24"/>
          <w:lang w:val="en-US"/>
        </w:rPr>
        <w:t>organization</w:t>
      </w:r>
      <w:r w:rsidRPr="00910346" w:rsidR="007E0F1F">
        <w:rPr>
          <w:rFonts w:ascii="Arial Narrow" w:hAnsi="Arial Narrow"/>
          <w:sz w:val="24"/>
          <w:szCs w:val="24"/>
          <w:lang w:val="en-US"/>
        </w:rPr>
        <w:t>.</w:t>
      </w:r>
      <w:r w:rsidRPr="00910346" w:rsidR="009A5AAC">
        <w:rPr>
          <w:rFonts w:ascii="Arial Narrow" w:hAnsi="Arial Narrow"/>
          <w:sz w:val="24"/>
          <w:szCs w:val="24"/>
          <w:lang w:val="en-US"/>
        </w:rPr>
        <w:t xml:space="preserve"> </w:t>
      </w:r>
    </w:p>
    <w:p w:rsidR="00007AA2" w:rsidRPr="00910346" w:rsidP="00B05742" w14:paraId="099954D1" w14:textId="01FF424C">
      <w:pPr>
        <w:jc w:val="both"/>
        <w:rPr>
          <w:rFonts w:ascii="Arial Narrow" w:hAnsi="Arial Narrow"/>
          <w:sz w:val="24"/>
          <w:szCs w:val="24"/>
          <w:lang w:val="en-US"/>
        </w:rPr>
      </w:pPr>
      <w:r w:rsidRPr="009A5AAC">
        <w:rPr>
          <w:rFonts w:ascii="Arial Narrow" w:hAnsi="Arial Narrow"/>
          <w:sz w:val="24"/>
          <w:szCs w:val="24"/>
          <w:lang w:val="en-US"/>
        </w:rPr>
        <w:t xml:space="preserve">CEHURD uses strategic litigation to address health system gaps and expand access to justice </w:t>
      </w:r>
      <w:r w:rsidRPr="00910346" w:rsidR="00CF725A">
        <w:rPr>
          <w:rFonts w:ascii="Arial Narrow" w:hAnsi="Arial Narrow"/>
          <w:sz w:val="24"/>
          <w:szCs w:val="24"/>
          <w:lang w:val="en-US"/>
        </w:rPr>
        <w:t>for</w:t>
      </w:r>
      <w:r w:rsidRPr="009A5AAC">
        <w:rPr>
          <w:rFonts w:ascii="Arial Narrow" w:hAnsi="Arial Narrow"/>
          <w:sz w:val="24"/>
          <w:szCs w:val="24"/>
          <w:lang w:val="en-US"/>
        </w:rPr>
        <w:t xml:space="preserve"> victims of health rights violations. </w:t>
      </w:r>
      <w:r w:rsidRPr="00910346">
        <w:rPr>
          <w:rFonts w:ascii="Arial Narrow" w:hAnsi="Arial Narrow"/>
          <w:sz w:val="24"/>
          <w:szCs w:val="24"/>
          <w:lang w:val="en-US"/>
        </w:rPr>
        <w:t xml:space="preserve">In addition, CEHURD utilizes </w:t>
      </w:r>
      <w:r w:rsidRPr="009A5AAC">
        <w:rPr>
          <w:rFonts w:ascii="Arial Narrow" w:hAnsi="Arial Narrow"/>
          <w:sz w:val="24"/>
          <w:szCs w:val="24"/>
          <w:lang w:val="en-US"/>
        </w:rPr>
        <w:t xml:space="preserve">Alternative Dispute Resolution (ADR) </w:t>
      </w:r>
      <w:r w:rsidRPr="00910346">
        <w:rPr>
          <w:rFonts w:ascii="Arial Narrow" w:hAnsi="Arial Narrow"/>
          <w:sz w:val="24"/>
          <w:szCs w:val="24"/>
          <w:lang w:val="en-US"/>
        </w:rPr>
        <w:t>m</w:t>
      </w:r>
      <w:r w:rsidRPr="009A5AAC">
        <w:rPr>
          <w:rFonts w:ascii="Arial Narrow" w:hAnsi="Arial Narrow"/>
          <w:sz w:val="24"/>
          <w:szCs w:val="24"/>
          <w:lang w:val="en-US"/>
        </w:rPr>
        <w:t>echanisms</w:t>
      </w:r>
      <w:r w:rsidRPr="00910346">
        <w:rPr>
          <w:rFonts w:ascii="Arial Narrow" w:hAnsi="Arial Narrow"/>
          <w:sz w:val="24"/>
          <w:szCs w:val="24"/>
          <w:lang w:val="en-US"/>
        </w:rPr>
        <w:t xml:space="preserve"> like mediation to settle complaints relating to health rights violations out of court</w:t>
      </w:r>
      <w:r w:rsidRPr="009A5AAC">
        <w:rPr>
          <w:rFonts w:ascii="Arial Narrow" w:hAnsi="Arial Narrow"/>
          <w:sz w:val="24"/>
          <w:szCs w:val="24"/>
          <w:lang w:val="en-US"/>
        </w:rPr>
        <w:t>.</w:t>
      </w:r>
    </w:p>
    <w:p w:rsidR="00007AA2" w:rsidRPr="00910346" w:rsidP="00B05742" w14:paraId="347ABE57" w14:textId="075AB4F5">
      <w:pPr>
        <w:jc w:val="both"/>
        <w:rPr>
          <w:rFonts w:ascii="Arial Narrow" w:hAnsi="Arial Narrow"/>
          <w:sz w:val="24"/>
          <w:szCs w:val="24"/>
          <w:lang w:val="en-US"/>
        </w:rPr>
      </w:pPr>
      <w:r w:rsidRPr="00910346">
        <w:rPr>
          <w:rFonts w:ascii="Arial Narrow" w:hAnsi="Arial Narrow"/>
          <w:sz w:val="24"/>
          <w:szCs w:val="24"/>
          <w:lang w:val="en-US"/>
        </w:rPr>
        <w:t xml:space="preserve">The organization also </w:t>
      </w:r>
      <w:r w:rsidRPr="00910346">
        <w:rPr>
          <w:rFonts w:ascii="Arial Narrow" w:hAnsi="Arial Narrow"/>
          <w:sz w:val="24"/>
          <w:szCs w:val="24"/>
          <w:lang w:val="en-US"/>
        </w:rPr>
        <w:t>compliments government programming by working with entities</w:t>
      </w:r>
      <w:r w:rsidRPr="009A5AAC" w:rsidR="009A5AAC">
        <w:rPr>
          <w:rFonts w:ascii="Arial Narrow" w:hAnsi="Arial Narrow"/>
          <w:sz w:val="24"/>
          <w:szCs w:val="24"/>
          <w:lang w:val="en-US"/>
        </w:rPr>
        <w:t xml:space="preserve"> includ</w:t>
      </w:r>
      <w:r w:rsidRPr="00910346">
        <w:rPr>
          <w:rFonts w:ascii="Arial Narrow" w:hAnsi="Arial Narrow"/>
          <w:sz w:val="24"/>
          <w:szCs w:val="24"/>
          <w:lang w:val="en-US"/>
        </w:rPr>
        <w:t>ing</w:t>
      </w:r>
      <w:r w:rsidRPr="009A5AAC" w:rsidR="009A5AAC">
        <w:rPr>
          <w:rFonts w:ascii="Arial Narrow" w:hAnsi="Arial Narrow"/>
          <w:sz w:val="24"/>
          <w:szCs w:val="24"/>
          <w:lang w:val="en-US"/>
        </w:rPr>
        <w:t>;</w:t>
      </w:r>
      <w:r w:rsidRPr="00910346">
        <w:rPr>
          <w:rFonts w:ascii="Arial Narrow" w:hAnsi="Arial Narrow"/>
          <w:sz w:val="24"/>
          <w:szCs w:val="24"/>
          <w:lang w:val="en-US"/>
        </w:rPr>
        <w:t xml:space="preserve"> the</w:t>
      </w:r>
      <w:r w:rsidRPr="009A5AAC" w:rsidR="009A5AAC">
        <w:rPr>
          <w:rFonts w:ascii="Arial Narrow" w:hAnsi="Arial Narrow"/>
          <w:sz w:val="24"/>
          <w:szCs w:val="24"/>
          <w:lang w:val="en-US"/>
        </w:rPr>
        <w:t xml:space="preserve"> Uganda Human Rights Commission (UHRC), Equal Opportunities Commission (EOC), Uganda Law Society (ULS), Health professional bodies and associations, academia, private law firms, legal aid service provider networks and Civil Society Organizations (CSOs). </w:t>
      </w:r>
    </w:p>
    <w:p w:rsidR="009A5AAC" w:rsidRPr="00910346" w:rsidP="00B05742" w14:paraId="5A579CF5" w14:textId="54776B06">
      <w:pPr>
        <w:jc w:val="both"/>
        <w:rPr>
          <w:rFonts w:ascii="Arial Narrow" w:hAnsi="Arial Narrow"/>
          <w:sz w:val="24"/>
          <w:szCs w:val="24"/>
          <w:lang w:val="en-US"/>
        </w:rPr>
      </w:pPr>
      <w:r w:rsidRPr="00910346">
        <w:rPr>
          <w:rFonts w:ascii="Arial Narrow" w:hAnsi="Arial Narrow"/>
          <w:sz w:val="24"/>
          <w:szCs w:val="24"/>
          <w:lang w:val="en-US"/>
        </w:rPr>
        <w:t xml:space="preserve">Due to the </w:t>
      </w:r>
      <w:r w:rsidRPr="00910346" w:rsidR="00A518B6">
        <w:rPr>
          <w:rFonts w:ascii="Arial Narrow" w:hAnsi="Arial Narrow"/>
          <w:sz w:val="24"/>
          <w:szCs w:val="24"/>
          <w:lang w:val="en-US"/>
        </w:rPr>
        <w:t>volume</w:t>
      </w:r>
      <w:r w:rsidRPr="00910346">
        <w:rPr>
          <w:rFonts w:ascii="Arial Narrow" w:hAnsi="Arial Narrow"/>
          <w:sz w:val="24"/>
          <w:szCs w:val="24"/>
          <w:lang w:val="en-US"/>
        </w:rPr>
        <w:t xml:space="preserve"> of work, </w:t>
      </w:r>
      <w:r w:rsidRPr="009A5AAC">
        <w:rPr>
          <w:rFonts w:ascii="Arial Narrow" w:hAnsi="Arial Narrow"/>
          <w:sz w:val="24"/>
          <w:szCs w:val="24"/>
          <w:lang w:val="en-US"/>
        </w:rPr>
        <w:t>CEHURD build</w:t>
      </w:r>
      <w:r w:rsidRPr="00910346">
        <w:rPr>
          <w:rFonts w:ascii="Arial Narrow" w:hAnsi="Arial Narrow"/>
          <w:sz w:val="24"/>
          <w:szCs w:val="24"/>
          <w:lang w:val="en-US"/>
        </w:rPr>
        <w:t>s</w:t>
      </w:r>
      <w:r w:rsidRPr="009A5AAC">
        <w:rPr>
          <w:rFonts w:ascii="Arial Narrow" w:hAnsi="Arial Narrow"/>
          <w:sz w:val="24"/>
          <w:szCs w:val="24"/>
          <w:lang w:val="en-US"/>
        </w:rPr>
        <w:t xml:space="preserve"> and </w:t>
      </w:r>
      <w:r w:rsidRPr="00910346">
        <w:rPr>
          <w:rFonts w:ascii="Arial Narrow" w:hAnsi="Arial Narrow"/>
          <w:sz w:val="24"/>
          <w:szCs w:val="24"/>
          <w:lang w:val="en-US"/>
        </w:rPr>
        <w:t>strengthens</w:t>
      </w:r>
      <w:r w:rsidRPr="009A5AAC">
        <w:rPr>
          <w:rFonts w:ascii="Arial Narrow" w:hAnsi="Arial Narrow"/>
          <w:sz w:val="24"/>
          <w:szCs w:val="24"/>
          <w:lang w:val="en-US"/>
        </w:rPr>
        <w:t xml:space="preserve"> </w:t>
      </w:r>
      <w:r w:rsidRPr="00910346">
        <w:rPr>
          <w:rFonts w:ascii="Arial Narrow" w:hAnsi="Arial Narrow"/>
          <w:sz w:val="24"/>
          <w:szCs w:val="24"/>
          <w:lang w:val="en-US"/>
        </w:rPr>
        <w:t xml:space="preserve">the </w:t>
      </w:r>
      <w:r w:rsidRPr="009A5AAC">
        <w:rPr>
          <w:rFonts w:ascii="Arial Narrow" w:hAnsi="Arial Narrow"/>
          <w:sz w:val="24"/>
          <w:szCs w:val="24"/>
          <w:lang w:val="en-US"/>
        </w:rPr>
        <w:t xml:space="preserve">capacities of </w:t>
      </w:r>
      <w:r w:rsidRPr="00910346">
        <w:rPr>
          <w:rFonts w:ascii="Arial Narrow" w:hAnsi="Arial Narrow"/>
          <w:sz w:val="24"/>
          <w:szCs w:val="24"/>
          <w:lang w:val="en-US"/>
        </w:rPr>
        <w:t xml:space="preserve">communities </w:t>
      </w:r>
      <w:r w:rsidRPr="009A5AAC">
        <w:rPr>
          <w:rFonts w:ascii="Arial Narrow" w:hAnsi="Arial Narrow"/>
          <w:sz w:val="24"/>
          <w:szCs w:val="24"/>
          <w:lang w:val="en-US"/>
        </w:rPr>
        <w:t xml:space="preserve">to effectively </w:t>
      </w:r>
      <w:r w:rsidRPr="00910346">
        <w:rPr>
          <w:rFonts w:ascii="Arial Narrow" w:hAnsi="Arial Narrow"/>
          <w:sz w:val="24"/>
          <w:szCs w:val="24"/>
          <w:lang w:val="en-US"/>
        </w:rPr>
        <w:t xml:space="preserve">recognize the right to health, </w:t>
      </w:r>
      <w:r w:rsidRPr="009A5AAC">
        <w:rPr>
          <w:rFonts w:ascii="Arial Narrow" w:hAnsi="Arial Narrow"/>
          <w:sz w:val="24"/>
          <w:szCs w:val="24"/>
          <w:lang w:val="en-US"/>
        </w:rPr>
        <w:t>identify</w:t>
      </w:r>
      <w:r w:rsidRPr="00910346">
        <w:rPr>
          <w:rFonts w:ascii="Arial Narrow" w:hAnsi="Arial Narrow"/>
          <w:sz w:val="24"/>
          <w:szCs w:val="24"/>
          <w:lang w:val="en-US"/>
        </w:rPr>
        <w:t xml:space="preserve"> violations</w:t>
      </w:r>
      <w:r w:rsidRPr="00910346" w:rsidR="00CF725A">
        <w:rPr>
          <w:rFonts w:ascii="Arial Narrow" w:hAnsi="Arial Narrow"/>
          <w:sz w:val="24"/>
          <w:szCs w:val="24"/>
          <w:lang w:val="en-US"/>
        </w:rPr>
        <w:t>,</w:t>
      </w:r>
      <w:r w:rsidRPr="00910346">
        <w:rPr>
          <w:rFonts w:ascii="Arial Narrow" w:hAnsi="Arial Narrow"/>
          <w:sz w:val="24"/>
          <w:szCs w:val="24"/>
          <w:lang w:val="en-US"/>
        </w:rPr>
        <w:t xml:space="preserve"> and demand their rights from their duty </w:t>
      </w:r>
      <w:r w:rsidRPr="00910346" w:rsidR="00A518B6">
        <w:rPr>
          <w:rFonts w:ascii="Arial Narrow" w:hAnsi="Arial Narrow"/>
          <w:sz w:val="24"/>
          <w:szCs w:val="24"/>
          <w:lang w:val="en-US"/>
        </w:rPr>
        <w:t>bearers</w:t>
      </w:r>
      <w:r w:rsidRPr="00910346" w:rsidR="007E0F1F">
        <w:rPr>
          <w:rFonts w:ascii="Arial Narrow" w:hAnsi="Arial Narrow"/>
          <w:sz w:val="24"/>
          <w:szCs w:val="24"/>
          <w:lang w:val="en-US"/>
        </w:rPr>
        <w:t xml:space="preserve"> on their own</w:t>
      </w:r>
      <w:r w:rsidRPr="00910346">
        <w:rPr>
          <w:rFonts w:ascii="Arial Narrow" w:hAnsi="Arial Narrow"/>
          <w:sz w:val="24"/>
          <w:szCs w:val="24"/>
          <w:lang w:val="en-US"/>
        </w:rPr>
        <w:t xml:space="preserve">. In addition, </w:t>
      </w:r>
      <w:r w:rsidRPr="00910346" w:rsidR="007E0F1F">
        <w:rPr>
          <w:rFonts w:ascii="Arial Narrow" w:hAnsi="Arial Narrow"/>
          <w:sz w:val="24"/>
          <w:szCs w:val="24"/>
          <w:lang w:val="en-US"/>
        </w:rPr>
        <w:t xml:space="preserve">the </w:t>
      </w:r>
      <w:r w:rsidRPr="00910346" w:rsidR="005D7B1D">
        <w:rPr>
          <w:rFonts w:ascii="Arial Narrow" w:hAnsi="Arial Narrow"/>
          <w:sz w:val="24"/>
          <w:szCs w:val="24"/>
          <w:lang w:val="en-US"/>
        </w:rPr>
        <w:t>organization</w:t>
      </w:r>
      <w:r w:rsidRPr="00910346">
        <w:rPr>
          <w:rFonts w:ascii="Arial Narrow" w:hAnsi="Arial Narrow"/>
          <w:sz w:val="24"/>
          <w:szCs w:val="24"/>
          <w:lang w:val="en-US"/>
        </w:rPr>
        <w:t xml:space="preserve"> conducts national-level advocacy on policies, and budget allocation for the health sector all in furtherance of the right to health.</w:t>
      </w:r>
      <w:r w:rsidRPr="00910346" w:rsidR="00C5535B">
        <w:rPr>
          <w:rFonts w:ascii="Arial Narrow" w:hAnsi="Arial Narrow"/>
          <w:sz w:val="24"/>
          <w:szCs w:val="24"/>
          <w:lang w:val="en-US"/>
        </w:rPr>
        <w:t xml:space="preserve"> </w:t>
      </w:r>
    </w:p>
    <w:p w:rsidR="00007AA2" w:rsidRPr="00007AA2" w:rsidP="00B05742" w14:paraId="3FDAF4E3" w14:textId="61A33DB6">
      <w:pPr>
        <w:jc w:val="both"/>
        <w:rPr>
          <w:rFonts w:ascii="Arial Narrow" w:hAnsi="Arial Narrow"/>
          <w:bCs/>
          <w:i/>
          <w:iCs/>
          <w:sz w:val="24"/>
          <w:szCs w:val="24"/>
          <w:lang w:val="en-US"/>
        </w:rPr>
      </w:pPr>
      <w:r w:rsidRPr="00910346">
        <w:rPr>
          <w:rFonts w:ascii="Arial Narrow" w:hAnsi="Arial Narrow"/>
          <w:bCs/>
          <w:i/>
          <w:iCs/>
          <w:sz w:val="24"/>
          <w:szCs w:val="24"/>
          <w:lang w:val="en-US"/>
        </w:rPr>
        <w:t xml:space="preserve">b. </w:t>
      </w:r>
      <w:r w:rsidRPr="00007AA2">
        <w:rPr>
          <w:rFonts w:ascii="Arial Narrow" w:hAnsi="Arial Narrow"/>
          <w:bCs/>
          <w:i/>
          <w:iCs/>
          <w:sz w:val="24"/>
          <w:szCs w:val="24"/>
          <w:lang w:val="en-US"/>
        </w:rPr>
        <w:t>Health and the</w:t>
      </w:r>
      <w:r w:rsidRPr="00910346">
        <w:rPr>
          <w:rFonts w:ascii="Arial Narrow" w:hAnsi="Arial Narrow"/>
          <w:bCs/>
          <w:i/>
          <w:iCs/>
          <w:sz w:val="24"/>
          <w:szCs w:val="24"/>
          <w:lang w:val="en-US"/>
        </w:rPr>
        <w:t xml:space="preserve"> Law Cluster – Uganda Law Society</w:t>
      </w:r>
    </w:p>
    <w:p w:rsidR="006E4A13" w:rsidRPr="00910346" w:rsidP="00B05742" w14:paraId="5E07627D" w14:textId="7E6DA553">
      <w:pPr>
        <w:jc w:val="both"/>
        <w:rPr>
          <w:rFonts w:ascii="Arial Narrow" w:hAnsi="Arial Narrow"/>
          <w:sz w:val="24"/>
          <w:szCs w:val="24"/>
          <w:lang w:val="en-US"/>
        </w:rPr>
      </w:pPr>
      <w:r w:rsidRPr="00007AA2">
        <w:rPr>
          <w:rFonts w:ascii="Arial Narrow" w:hAnsi="Arial Narrow"/>
          <w:sz w:val="24"/>
          <w:szCs w:val="24"/>
          <w:lang w:val="en-US"/>
        </w:rPr>
        <w:t xml:space="preserve">CEHURD spearheaded the conceptualization and operationalization of the </w:t>
      </w:r>
      <w:r w:rsidRPr="00910346" w:rsidR="003C79C0">
        <w:rPr>
          <w:rFonts w:ascii="Arial Narrow" w:hAnsi="Arial Narrow"/>
          <w:sz w:val="24"/>
          <w:szCs w:val="24"/>
          <w:lang w:val="en-US"/>
        </w:rPr>
        <w:t>health</w:t>
      </w:r>
      <w:r w:rsidRPr="00007AA2">
        <w:rPr>
          <w:rFonts w:ascii="Arial Narrow" w:hAnsi="Arial Narrow"/>
          <w:sz w:val="24"/>
          <w:szCs w:val="24"/>
          <w:lang w:val="en-US"/>
        </w:rPr>
        <w:t xml:space="preserve"> and the law cluster of the ULS. In its first year of existence, the cluster was nominated for an award of the </w:t>
      </w:r>
      <w:r w:rsidRPr="00910346" w:rsidR="003C79C0">
        <w:rPr>
          <w:rFonts w:ascii="Arial Narrow" w:hAnsi="Arial Narrow"/>
          <w:sz w:val="24"/>
          <w:szCs w:val="24"/>
          <w:lang w:val="en-US"/>
        </w:rPr>
        <w:t>Cluster</w:t>
      </w:r>
      <w:r w:rsidRPr="00007AA2">
        <w:rPr>
          <w:rFonts w:ascii="Arial Narrow" w:hAnsi="Arial Narrow"/>
          <w:sz w:val="24"/>
          <w:szCs w:val="24"/>
          <w:lang w:val="en-US"/>
        </w:rPr>
        <w:t xml:space="preserve"> of the </w:t>
      </w:r>
      <w:r w:rsidRPr="00910346" w:rsidR="003C79C0">
        <w:rPr>
          <w:rFonts w:ascii="Arial Narrow" w:hAnsi="Arial Narrow"/>
          <w:sz w:val="24"/>
          <w:szCs w:val="24"/>
          <w:lang w:val="en-US"/>
        </w:rPr>
        <w:t>Year</w:t>
      </w:r>
      <w:r w:rsidRPr="00007AA2">
        <w:rPr>
          <w:rFonts w:ascii="Arial Narrow" w:hAnsi="Arial Narrow"/>
          <w:sz w:val="24"/>
          <w:szCs w:val="24"/>
          <w:lang w:val="en-US"/>
        </w:rPr>
        <w:t xml:space="preserve"> 2017. </w:t>
      </w:r>
      <w:r w:rsidRPr="00910346" w:rsidR="00F804FA">
        <w:rPr>
          <w:rFonts w:ascii="Arial Narrow" w:hAnsi="Arial Narrow"/>
          <w:sz w:val="24"/>
          <w:szCs w:val="24"/>
          <w:lang w:val="en-US"/>
        </w:rPr>
        <w:t>Largely</w:t>
      </w:r>
      <w:r w:rsidRPr="00007AA2">
        <w:rPr>
          <w:rFonts w:ascii="Arial Narrow" w:hAnsi="Arial Narrow"/>
          <w:sz w:val="24"/>
          <w:szCs w:val="24"/>
          <w:lang w:val="en-US"/>
        </w:rPr>
        <w:t>, the cluster</w:t>
      </w:r>
      <w:r w:rsidRPr="00910346" w:rsidR="00F804FA">
        <w:rPr>
          <w:rFonts w:ascii="Arial Narrow" w:hAnsi="Arial Narrow"/>
          <w:sz w:val="24"/>
          <w:szCs w:val="24"/>
          <w:lang w:val="en-US"/>
        </w:rPr>
        <w:t xml:space="preserve"> is</w:t>
      </w:r>
      <w:r w:rsidRPr="00007AA2">
        <w:rPr>
          <w:rFonts w:ascii="Arial Narrow" w:hAnsi="Arial Narrow"/>
          <w:sz w:val="24"/>
          <w:szCs w:val="24"/>
          <w:lang w:val="en-US"/>
        </w:rPr>
        <w:t xml:space="preserve"> focused on building bridges between legal and health practitioners</w:t>
      </w:r>
      <w:r w:rsidRPr="00910346" w:rsidR="00F804FA">
        <w:rPr>
          <w:rFonts w:ascii="Arial Narrow" w:hAnsi="Arial Narrow"/>
          <w:sz w:val="24"/>
          <w:szCs w:val="24"/>
          <w:lang w:val="en-US"/>
        </w:rPr>
        <w:t>, demystifying the laws, policies</w:t>
      </w:r>
      <w:r w:rsidRPr="00910346" w:rsidR="003C79C0">
        <w:rPr>
          <w:rFonts w:ascii="Arial Narrow" w:hAnsi="Arial Narrow"/>
          <w:sz w:val="24"/>
          <w:szCs w:val="24"/>
          <w:lang w:val="en-US"/>
        </w:rPr>
        <w:t>,</w:t>
      </w:r>
      <w:r w:rsidRPr="00910346" w:rsidR="00F804FA">
        <w:rPr>
          <w:rFonts w:ascii="Arial Narrow" w:hAnsi="Arial Narrow"/>
          <w:sz w:val="24"/>
          <w:szCs w:val="24"/>
          <w:lang w:val="en-US"/>
        </w:rPr>
        <w:t xml:space="preserve"> and practices affecting health</w:t>
      </w:r>
      <w:r w:rsidRPr="00007AA2">
        <w:rPr>
          <w:rFonts w:ascii="Arial Narrow" w:hAnsi="Arial Narrow"/>
          <w:sz w:val="24"/>
          <w:szCs w:val="24"/>
          <w:lang w:val="en-US"/>
        </w:rPr>
        <w:t>.</w:t>
      </w:r>
      <w:r w:rsidRPr="00910346" w:rsidR="00F804FA">
        <w:rPr>
          <w:rFonts w:ascii="Arial Narrow" w:hAnsi="Arial Narrow"/>
          <w:sz w:val="24"/>
          <w:szCs w:val="24"/>
          <w:lang w:val="en-US"/>
        </w:rPr>
        <w:t xml:space="preserve"> </w:t>
      </w:r>
      <w:r w:rsidRPr="00007AA2">
        <w:rPr>
          <w:rFonts w:ascii="Arial Narrow" w:hAnsi="Arial Narrow"/>
          <w:sz w:val="24"/>
          <w:szCs w:val="24"/>
          <w:lang w:val="en-US"/>
        </w:rPr>
        <w:t xml:space="preserve">The cluster has also continued to train lawyers on health and the law through Continuing Legal Education seminars and provided legal opinions to Parliament on </w:t>
      </w:r>
      <w:r w:rsidRPr="00910346" w:rsidR="00F804FA">
        <w:rPr>
          <w:rFonts w:ascii="Arial Narrow" w:hAnsi="Arial Narrow"/>
          <w:sz w:val="24"/>
          <w:szCs w:val="24"/>
          <w:lang w:val="en-US"/>
        </w:rPr>
        <w:t>health-related</w:t>
      </w:r>
      <w:r w:rsidRPr="00007AA2">
        <w:rPr>
          <w:rFonts w:ascii="Arial Narrow" w:hAnsi="Arial Narrow"/>
          <w:sz w:val="24"/>
          <w:szCs w:val="24"/>
          <w:lang w:val="en-US"/>
        </w:rPr>
        <w:t xml:space="preserve"> </w:t>
      </w:r>
      <w:r w:rsidRPr="00910346" w:rsidR="00F804FA">
        <w:rPr>
          <w:rFonts w:ascii="Arial Narrow" w:hAnsi="Arial Narrow"/>
          <w:sz w:val="24"/>
          <w:szCs w:val="24"/>
          <w:lang w:val="en-US"/>
        </w:rPr>
        <w:t>laws like the Public Health (Amendment) Act</w:t>
      </w:r>
      <w:r w:rsidRPr="00910346" w:rsidR="00A518B6">
        <w:rPr>
          <w:rFonts w:ascii="Arial Narrow" w:hAnsi="Arial Narrow"/>
          <w:sz w:val="24"/>
          <w:szCs w:val="24"/>
          <w:lang w:val="en-US"/>
        </w:rPr>
        <w:t xml:space="preserve"> of 2022</w:t>
      </w:r>
      <w:r w:rsidRPr="00910346" w:rsidR="00F804FA">
        <w:rPr>
          <w:rFonts w:ascii="Arial Narrow" w:hAnsi="Arial Narrow"/>
          <w:sz w:val="24"/>
          <w:szCs w:val="24"/>
          <w:lang w:val="en-US"/>
        </w:rPr>
        <w:t xml:space="preserve">, Uganda Human </w:t>
      </w:r>
      <w:r w:rsidRPr="00910346" w:rsidR="00946B47">
        <w:rPr>
          <w:rFonts w:ascii="Arial Narrow" w:hAnsi="Arial Narrow"/>
          <w:sz w:val="24"/>
          <w:szCs w:val="24"/>
          <w:lang w:val="en-US"/>
        </w:rPr>
        <w:t>Organ Donation and Transplant Act</w:t>
      </w:r>
      <w:r w:rsidRPr="00910346" w:rsidR="00A518B6">
        <w:rPr>
          <w:rFonts w:ascii="Arial Narrow" w:hAnsi="Arial Narrow"/>
          <w:sz w:val="24"/>
          <w:szCs w:val="24"/>
          <w:lang w:val="en-US"/>
        </w:rPr>
        <w:t xml:space="preserve"> of 2023</w:t>
      </w:r>
      <w:r w:rsidRPr="00910346" w:rsidR="00EA1351">
        <w:rPr>
          <w:rFonts w:ascii="Arial Narrow" w:hAnsi="Arial Narrow"/>
          <w:sz w:val="24"/>
          <w:szCs w:val="24"/>
          <w:lang w:val="en-US"/>
        </w:rPr>
        <w:t>,</w:t>
      </w:r>
      <w:r w:rsidRPr="00910346" w:rsidR="00A518B6">
        <w:rPr>
          <w:rFonts w:ascii="Arial Narrow" w:hAnsi="Arial Narrow"/>
          <w:sz w:val="24"/>
          <w:szCs w:val="24"/>
          <w:lang w:val="en-US"/>
        </w:rPr>
        <w:t xml:space="preserve"> The Mental Health Act of 2018, the Traditional and Complimentary Medicine Act of 2019, </w:t>
      </w:r>
      <w:r w:rsidRPr="00910346" w:rsidR="00EA1351">
        <w:rPr>
          <w:rFonts w:ascii="Arial Narrow" w:hAnsi="Arial Narrow"/>
          <w:sz w:val="24"/>
          <w:szCs w:val="24"/>
          <w:lang w:val="en-US"/>
        </w:rPr>
        <w:t>among others.</w:t>
      </w:r>
    </w:p>
    <w:p w:rsidR="006E4A13" w:rsidRPr="00910346" w:rsidP="006D0E0B" w14:paraId="57686D59" w14:textId="1A1A4822">
      <w:pPr>
        <w:pStyle w:val="ListParagraph"/>
        <w:numPr>
          <w:ilvl w:val="0"/>
          <w:numId w:val="6"/>
        </w:numPr>
        <w:jc w:val="both"/>
        <w:rPr>
          <w:rFonts w:ascii="Arial Narrow" w:hAnsi="Arial Narrow"/>
          <w:bCs/>
          <w:i/>
          <w:iCs/>
          <w:sz w:val="24"/>
          <w:szCs w:val="24"/>
          <w:lang w:val="en-US"/>
        </w:rPr>
      </w:pPr>
      <w:r w:rsidRPr="00910346">
        <w:rPr>
          <w:rFonts w:ascii="Arial Narrow" w:hAnsi="Arial Narrow"/>
          <w:bCs/>
          <w:i/>
          <w:iCs/>
          <w:sz w:val="24"/>
          <w:szCs w:val="24"/>
          <w:lang w:val="en-US"/>
        </w:rPr>
        <w:t>Annual National Inter-University Constitutional Law Moot Court Competition</w:t>
      </w:r>
    </w:p>
    <w:p w:rsidR="00007AA2" w:rsidRPr="00007AA2" w:rsidP="00B05742" w14:paraId="4DF175A4" w14:textId="086CCCCE">
      <w:pPr>
        <w:jc w:val="both"/>
        <w:rPr>
          <w:rFonts w:ascii="Arial Narrow" w:hAnsi="Arial Narrow"/>
          <w:sz w:val="24"/>
          <w:szCs w:val="24"/>
          <w:lang w:val="en-US"/>
        </w:rPr>
      </w:pPr>
      <w:r w:rsidRPr="00910346">
        <w:rPr>
          <w:rFonts w:ascii="Arial Narrow" w:hAnsi="Arial Narrow"/>
          <w:sz w:val="24"/>
          <w:szCs w:val="24"/>
          <w:lang w:val="en-US"/>
        </w:rPr>
        <w:t xml:space="preserve">For the past 10 years, CEHURD has </w:t>
      </w:r>
      <w:r w:rsidRPr="00910346" w:rsidR="00C76ADF">
        <w:rPr>
          <w:rFonts w:ascii="Arial Narrow" w:hAnsi="Arial Narrow"/>
          <w:sz w:val="24"/>
          <w:szCs w:val="24"/>
          <w:lang w:val="en-US"/>
        </w:rPr>
        <w:t>convened</w:t>
      </w:r>
      <w:r w:rsidRPr="00910346">
        <w:rPr>
          <w:rFonts w:ascii="Arial Narrow" w:hAnsi="Arial Narrow"/>
          <w:sz w:val="24"/>
          <w:szCs w:val="24"/>
          <w:lang w:val="en-US"/>
        </w:rPr>
        <w:t xml:space="preserve"> Annual National Inter-University Constitutional Law Moot Court Competitions to establish a cohort of young lawyers who can litigate and advocate for the right to health. Since 2014, the Center for Health, Human Rights and Development (CEHURD) </w:t>
      </w:r>
      <w:r w:rsidRPr="00910346" w:rsidR="00CF725A">
        <w:rPr>
          <w:rFonts w:ascii="Arial Narrow" w:hAnsi="Arial Narrow"/>
          <w:sz w:val="24"/>
          <w:szCs w:val="24"/>
          <w:lang w:val="en-US"/>
        </w:rPr>
        <w:t>has convened</w:t>
      </w:r>
      <w:r w:rsidRPr="00910346">
        <w:rPr>
          <w:rFonts w:ascii="Arial Narrow" w:hAnsi="Arial Narrow"/>
          <w:sz w:val="24"/>
          <w:szCs w:val="24"/>
          <w:lang w:val="en-US"/>
        </w:rPr>
        <w:t xml:space="preserve"> the Annual National Inter</w:t>
      </w:r>
      <w:r w:rsidRPr="00910346" w:rsidR="00A518B6">
        <w:rPr>
          <w:rFonts w:ascii="Arial Narrow" w:hAnsi="Arial Narrow"/>
          <w:sz w:val="24"/>
          <w:szCs w:val="24"/>
          <w:lang w:val="en-US"/>
        </w:rPr>
        <w:t>-</w:t>
      </w:r>
      <w:r w:rsidRPr="00910346">
        <w:rPr>
          <w:rFonts w:ascii="Arial Narrow" w:hAnsi="Arial Narrow"/>
          <w:sz w:val="24"/>
          <w:szCs w:val="24"/>
          <w:lang w:val="en-US"/>
        </w:rPr>
        <w:t xml:space="preserve">University Constitutional Law Moot Court Competition. The moot court competition has been graced by an ever-growing number of law schools in Uganda who meaningfully participate. The main objective of the Moot is to train students in practical aspects of litigating health and human rights within Uganda’s Courts of Law. This kind of arrangement helps bring out lawyers </w:t>
      </w:r>
      <w:r w:rsidRPr="00910346" w:rsidR="00CF725A">
        <w:rPr>
          <w:rFonts w:ascii="Arial Narrow" w:hAnsi="Arial Narrow"/>
          <w:sz w:val="24"/>
          <w:szCs w:val="24"/>
          <w:lang w:val="en-US"/>
        </w:rPr>
        <w:t>who</w:t>
      </w:r>
      <w:r w:rsidRPr="00910346">
        <w:rPr>
          <w:rFonts w:ascii="Arial Narrow" w:hAnsi="Arial Narrow"/>
          <w:sz w:val="24"/>
          <w:szCs w:val="24"/>
          <w:lang w:val="en-US"/>
        </w:rPr>
        <w:t xml:space="preserve"> understand key constitutional and health issues beyond what they are taught in class. The Moot specifically aspires to </w:t>
      </w:r>
      <w:r w:rsidRPr="00910346" w:rsidR="00CF725A">
        <w:rPr>
          <w:rFonts w:ascii="Arial Narrow" w:hAnsi="Arial Narrow"/>
          <w:sz w:val="24"/>
          <w:szCs w:val="24"/>
          <w:lang w:val="en-US"/>
        </w:rPr>
        <w:t xml:space="preserve">build a cohort of young lawyers with </w:t>
      </w:r>
      <w:r w:rsidRPr="00910346" w:rsidR="00506656">
        <w:rPr>
          <w:rFonts w:ascii="Arial Narrow" w:hAnsi="Arial Narrow"/>
          <w:sz w:val="24"/>
          <w:szCs w:val="24"/>
          <w:lang w:val="en-US"/>
        </w:rPr>
        <w:t xml:space="preserve">knowledge and the </w:t>
      </w:r>
      <w:r w:rsidRPr="00910346" w:rsidR="00CF725A">
        <w:rPr>
          <w:rFonts w:ascii="Arial Narrow" w:hAnsi="Arial Narrow"/>
          <w:sz w:val="24"/>
          <w:szCs w:val="24"/>
          <w:lang w:val="en-US"/>
        </w:rPr>
        <w:t xml:space="preserve">capacity </w:t>
      </w:r>
      <w:r w:rsidRPr="00910346" w:rsidR="00506656">
        <w:rPr>
          <w:rFonts w:ascii="Arial Narrow" w:hAnsi="Arial Narrow"/>
          <w:sz w:val="24"/>
          <w:szCs w:val="24"/>
          <w:lang w:val="en-US"/>
        </w:rPr>
        <w:t>to advocate</w:t>
      </w:r>
      <w:r w:rsidRPr="00910346" w:rsidR="00CF725A">
        <w:rPr>
          <w:rFonts w:ascii="Arial Narrow" w:hAnsi="Arial Narrow"/>
          <w:sz w:val="24"/>
          <w:szCs w:val="24"/>
          <w:lang w:val="en-US"/>
        </w:rPr>
        <w:t xml:space="preserve"> for the right to health.</w:t>
      </w:r>
    </w:p>
    <w:p w:rsidR="003C2352" w:rsidRPr="00910346" w:rsidP="006D0E0B" w14:paraId="438D2ADE" w14:textId="1B192D3C">
      <w:pPr>
        <w:pStyle w:val="ListParagraph"/>
        <w:numPr>
          <w:ilvl w:val="0"/>
          <w:numId w:val="4"/>
        </w:numPr>
        <w:jc w:val="both"/>
        <w:rPr>
          <w:rFonts w:ascii="Arial Narrow" w:hAnsi="Arial Narrow"/>
          <w:b/>
          <w:bCs/>
          <w:sz w:val="24"/>
          <w:szCs w:val="24"/>
          <w:lang w:val="en-US"/>
        </w:rPr>
      </w:pPr>
      <w:r w:rsidRPr="00910346">
        <w:rPr>
          <w:rFonts w:ascii="Arial Narrow" w:hAnsi="Arial Narrow"/>
          <w:b/>
          <w:bCs/>
          <w:sz w:val="24"/>
          <w:szCs w:val="24"/>
          <w:lang w:val="en-US"/>
        </w:rPr>
        <w:t xml:space="preserve">Advancement </w:t>
      </w:r>
      <w:r w:rsidRPr="00910346">
        <w:rPr>
          <w:rFonts w:ascii="Arial Narrow" w:hAnsi="Arial Narrow"/>
          <w:b/>
          <w:bCs/>
          <w:sz w:val="24"/>
          <w:szCs w:val="24"/>
        </w:rPr>
        <w:t>in Jurisprudence</w:t>
      </w:r>
      <w:r w:rsidRPr="00910346" w:rsidR="00C63A18">
        <w:rPr>
          <w:rFonts w:ascii="Arial Narrow" w:hAnsi="Arial Narrow"/>
          <w:b/>
          <w:bCs/>
          <w:sz w:val="24"/>
          <w:szCs w:val="24"/>
          <w:lang w:val="en-US"/>
        </w:rPr>
        <w:t xml:space="preserve"> in Health</w:t>
      </w:r>
    </w:p>
    <w:p w:rsidR="005C38CD" w:rsidRPr="00910346" w:rsidP="00B05742" w14:paraId="1898A9D0" w14:textId="03EB6561">
      <w:pPr>
        <w:jc w:val="both"/>
        <w:rPr>
          <w:rFonts w:ascii="Arial Narrow" w:hAnsi="Arial Narrow"/>
          <w:sz w:val="24"/>
          <w:szCs w:val="24"/>
          <w:lang w:val="en-US"/>
        </w:rPr>
      </w:pPr>
      <w:r w:rsidRPr="00910346">
        <w:rPr>
          <w:rFonts w:ascii="Arial Narrow" w:hAnsi="Arial Narrow"/>
          <w:sz w:val="24"/>
          <w:szCs w:val="24"/>
        </w:rPr>
        <w:t xml:space="preserve">The journey of Health Policy and the Law in Uganda has been marked by significant achievements in healthcare jurisprudence. </w:t>
      </w:r>
      <w:r w:rsidR="002D59E4">
        <w:rPr>
          <w:rFonts w:ascii="Arial Narrow" w:hAnsi="Arial Narrow"/>
          <w:sz w:val="24"/>
          <w:szCs w:val="24"/>
          <w:lang w:val="en-US"/>
        </w:rPr>
        <w:t>There have been</w:t>
      </w:r>
      <w:r w:rsidRPr="00910346">
        <w:rPr>
          <w:rFonts w:ascii="Arial Narrow" w:hAnsi="Arial Narrow"/>
          <w:sz w:val="24"/>
          <w:szCs w:val="24"/>
        </w:rPr>
        <w:t xml:space="preserve"> landmark court rulings</w:t>
      </w:r>
      <w:r w:rsidR="00EA3733">
        <w:rPr>
          <w:rFonts w:ascii="Arial Narrow" w:hAnsi="Arial Narrow"/>
          <w:sz w:val="24"/>
          <w:szCs w:val="24"/>
          <w:lang w:val="en-US"/>
        </w:rPr>
        <w:t xml:space="preserve"> and judgements </w:t>
      </w:r>
      <w:r w:rsidRPr="00910346">
        <w:rPr>
          <w:rFonts w:ascii="Arial Narrow" w:hAnsi="Arial Narrow"/>
          <w:sz w:val="24"/>
          <w:szCs w:val="24"/>
        </w:rPr>
        <w:t>that have not only protected the rights of countless individuals but have also set a foundation for a more just and equitable healthcare system. Legal precedents</w:t>
      </w:r>
      <w:r w:rsidRPr="00910346">
        <w:rPr>
          <w:rFonts w:ascii="Arial Narrow" w:hAnsi="Arial Narrow"/>
          <w:sz w:val="24"/>
          <w:szCs w:val="24"/>
          <w:lang w:val="en-US"/>
        </w:rPr>
        <w:t xml:space="preserve"> have been</w:t>
      </w:r>
      <w:r w:rsidRPr="00910346">
        <w:rPr>
          <w:rFonts w:ascii="Arial Narrow" w:hAnsi="Arial Narrow"/>
          <w:sz w:val="24"/>
          <w:szCs w:val="24"/>
        </w:rPr>
        <w:t xml:space="preserve"> established in critical areas such as maternal health, gender-based violence, sexuality education, and mental health.</w:t>
      </w:r>
      <w:r w:rsidRPr="00910346">
        <w:rPr>
          <w:rFonts w:ascii="Arial Narrow" w:hAnsi="Arial Narrow"/>
          <w:sz w:val="24"/>
          <w:szCs w:val="24"/>
          <w:lang w:val="en-US"/>
        </w:rPr>
        <w:t xml:space="preserve"> They include the following;</w:t>
      </w:r>
    </w:p>
    <w:p w:rsidR="002361B9" w:rsidRPr="00910346" w:rsidP="002361B9" w14:paraId="14017909" w14:textId="4283F703">
      <w:pPr>
        <w:pStyle w:val="ListParagraph"/>
        <w:numPr>
          <w:ilvl w:val="0"/>
          <w:numId w:val="3"/>
        </w:numPr>
        <w:jc w:val="both"/>
        <w:rPr>
          <w:rFonts w:ascii="Arial Narrow" w:hAnsi="Arial Narrow"/>
          <w:b/>
          <w:sz w:val="24"/>
          <w:szCs w:val="24"/>
          <w:lang w:val="en-US"/>
        </w:rPr>
      </w:pPr>
      <w:r w:rsidRPr="00910346">
        <w:rPr>
          <w:rFonts w:ascii="Arial Narrow" w:hAnsi="Arial Narrow"/>
          <w:b/>
          <w:sz w:val="24"/>
          <w:szCs w:val="24"/>
          <w:lang w:val="en-US"/>
        </w:rPr>
        <w:t>Constitutional Petition No. 16 of 2011, CEHURD and Others vs. Attorney General</w:t>
      </w:r>
    </w:p>
    <w:p w:rsidR="002361B9" w:rsidRPr="00910346" w:rsidP="002361B9" w14:paraId="178D1647" w14:textId="31C14A53">
      <w:pPr>
        <w:jc w:val="both"/>
        <w:rPr>
          <w:rFonts w:ascii="Arial Narrow" w:hAnsi="Arial Narrow"/>
          <w:sz w:val="24"/>
          <w:szCs w:val="24"/>
          <w:lang w:val="en-US"/>
        </w:rPr>
      </w:pPr>
      <w:r w:rsidRPr="00910346">
        <w:rPr>
          <w:rFonts w:ascii="Arial Narrow" w:hAnsi="Arial Narrow"/>
          <w:sz w:val="24"/>
          <w:szCs w:val="24"/>
        </w:rPr>
        <w:t>The case challenge</w:t>
      </w:r>
      <w:r w:rsidRPr="00910346">
        <w:rPr>
          <w:rFonts w:ascii="Arial Narrow" w:hAnsi="Arial Narrow"/>
          <w:sz w:val="24"/>
          <w:szCs w:val="24"/>
          <w:lang w:val="en-US"/>
        </w:rPr>
        <w:t>d</w:t>
      </w:r>
      <w:r w:rsidRPr="00910346">
        <w:rPr>
          <w:rFonts w:ascii="Arial Narrow" w:hAnsi="Arial Narrow"/>
          <w:sz w:val="24"/>
          <w:szCs w:val="24"/>
        </w:rPr>
        <w:t xml:space="preserve"> inter alia the non-provision of basic indispensable maternal health commodities in government health facilities</w:t>
      </w:r>
      <w:r w:rsidRPr="00910346">
        <w:rPr>
          <w:rFonts w:ascii="Arial Narrow" w:hAnsi="Arial Narrow"/>
          <w:sz w:val="24"/>
          <w:szCs w:val="24"/>
          <w:lang w:val="en-US"/>
        </w:rPr>
        <w:t>. At first instance in the Constitutional Court, the petition was struck out on account of raising political questions. The Court opined that issues of maternal health care are questions of budget allocations in line with government prioritization which is not a prerogative of the judiciary. On appeal, the Supreme Court</w:t>
      </w:r>
      <w:r>
        <w:rPr>
          <w:rStyle w:val="FootnoteReference"/>
          <w:rFonts w:ascii="Arial Narrow" w:hAnsi="Arial Narrow"/>
          <w:sz w:val="24"/>
          <w:szCs w:val="24"/>
          <w:lang w:val="en-US"/>
        </w:rPr>
        <w:footnoteReference w:id="17"/>
      </w:r>
      <w:r w:rsidRPr="00910346">
        <w:rPr>
          <w:rFonts w:ascii="Arial Narrow" w:hAnsi="Arial Narrow"/>
          <w:sz w:val="24"/>
          <w:szCs w:val="24"/>
          <w:lang w:val="en-US"/>
        </w:rPr>
        <w:t xml:space="preserve"> overturned the decision and referred the case</w:t>
      </w:r>
      <w:r w:rsidRPr="00910346">
        <w:rPr>
          <w:rFonts w:ascii="Arial Narrow" w:hAnsi="Arial Narrow"/>
          <w:sz w:val="24"/>
          <w:szCs w:val="24"/>
        </w:rPr>
        <w:t xml:space="preserve"> back to the Constitutional Court to be heard on its merits.</w:t>
      </w:r>
      <w:r w:rsidRPr="00910346">
        <w:rPr>
          <w:rFonts w:ascii="Arial Narrow" w:hAnsi="Arial Narrow"/>
          <w:sz w:val="24"/>
          <w:szCs w:val="24"/>
          <w:lang w:val="en-US"/>
        </w:rPr>
        <w:t xml:space="preserve"> </w:t>
      </w:r>
    </w:p>
    <w:p w:rsidR="002361B9" w:rsidRPr="00910346" w:rsidP="002361B9" w14:paraId="1A9C6AA0" w14:textId="3D86ECAA">
      <w:pPr>
        <w:jc w:val="both"/>
        <w:rPr>
          <w:rFonts w:ascii="Arial Narrow" w:hAnsi="Arial Narrow"/>
          <w:sz w:val="24"/>
          <w:szCs w:val="24"/>
          <w:lang w:val="en-US"/>
        </w:rPr>
      </w:pPr>
      <w:r w:rsidRPr="00910346">
        <w:rPr>
          <w:rFonts w:ascii="Arial Narrow" w:hAnsi="Arial Narrow"/>
          <w:sz w:val="24"/>
          <w:szCs w:val="24"/>
          <w:lang w:val="en-US"/>
        </w:rPr>
        <w:t>Upon determination of the case,</w:t>
      </w:r>
      <w:r w:rsidRPr="00910346">
        <w:rPr>
          <w:rFonts w:ascii="Arial Narrow" w:hAnsi="Arial Narrow"/>
          <w:sz w:val="24"/>
          <w:szCs w:val="24"/>
        </w:rPr>
        <w:t xml:space="preserve"> the Court found that the Government’s failure to adequately provide basic maternal health care services in public health care facilities—as highlighted by the high mortality rate due to pre- and post-partum complications—violated the right to </w:t>
      </w:r>
      <w:r w:rsidRPr="00910346" w:rsidR="005C38CD">
        <w:rPr>
          <w:rFonts w:ascii="Arial Narrow" w:hAnsi="Arial Narrow"/>
          <w:sz w:val="24"/>
          <w:szCs w:val="24"/>
          <w:lang w:val="en-US"/>
        </w:rPr>
        <w:t xml:space="preserve">health and the right to </w:t>
      </w:r>
      <w:r w:rsidRPr="00910346">
        <w:rPr>
          <w:rFonts w:ascii="Arial Narrow" w:hAnsi="Arial Narrow"/>
          <w:sz w:val="24"/>
          <w:szCs w:val="24"/>
        </w:rPr>
        <w:t>li</w:t>
      </w:r>
      <w:r w:rsidRPr="00910346">
        <w:rPr>
          <w:rFonts w:ascii="Arial Narrow" w:hAnsi="Arial Narrow"/>
          <w:sz w:val="24"/>
          <w:szCs w:val="24"/>
          <w:lang w:val="en-US"/>
        </w:rPr>
        <w:t>fe.</w:t>
      </w:r>
    </w:p>
    <w:p w:rsidR="002361B9" w:rsidRPr="00910346" w:rsidP="002361B9" w14:paraId="7DB344E0" w14:textId="77777777">
      <w:pPr>
        <w:jc w:val="both"/>
        <w:rPr>
          <w:rFonts w:ascii="Arial Narrow" w:hAnsi="Arial Narrow"/>
          <w:sz w:val="24"/>
          <w:szCs w:val="24"/>
          <w:lang w:val="en-US"/>
        </w:rPr>
      </w:pPr>
      <w:r w:rsidRPr="00910346">
        <w:rPr>
          <w:rFonts w:ascii="Arial Narrow" w:hAnsi="Arial Narrow"/>
          <w:sz w:val="24"/>
          <w:szCs w:val="24"/>
        </w:rPr>
        <w:t>The judgment recognizes the right to health and access to basic maternal health care despite the same not being expressly recognized under the 1995 Constitution of the Republic of Uganda.</w:t>
      </w:r>
      <w:r w:rsidRPr="00910346">
        <w:rPr>
          <w:rFonts w:ascii="Arial Narrow" w:hAnsi="Arial Narrow"/>
          <w:sz w:val="24"/>
          <w:szCs w:val="24"/>
          <w:lang w:val="en-US"/>
        </w:rPr>
        <w:t xml:space="preserve"> As a result of implementation, the Ministry of Health is conducting maternal health audits across the country. Noteworthy, according to the Uganda Demographic Health Survey (UDHS), the maternal death rate has reduced from 336 per 100,000 in 2016 to 189 per 100,000 live births in 2022.</w:t>
      </w:r>
    </w:p>
    <w:p w:rsidR="003C79C0" w:rsidRPr="00910346" w:rsidP="002361B9" w14:paraId="329C7148" w14:textId="7B04F352">
      <w:pPr>
        <w:pStyle w:val="ListParagraph"/>
        <w:numPr>
          <w:ilvl w:val="0"/>
          <w:numId w:val="3"/>
        </w:numPr>
        <w:jc w:val="both"/>
        <w:rPr>
          <w:rFonts w:ascii="Arial Narrow" w:hAnsi="Arial Narrow"/>
          <w:sz w:val="24"/>
          <w:szCs w:val="24"/>
          <w:lang w:val="en-US"/>
        </w:rPr>
      </w:pPr>
      <w:r w:rsidRPr="00910346">
        <w:rPr>
          <w:rFonts w:ascii="Arial Narrow" w:hAnsi="Arial Narrow"/>
          <w:b/>
          <w:sz w:val="24"/>
          <w:szCs w:val="24"/>
          <w:lang w:val="en-US"/>
        </w:rPr>
        <w:t>CEHURD and Others vs. Executive Director Mulago National Referral Hospital, Civil Suit No. 212 of 2013</w:t>
      </w:r>
    </w:p>
    <w:p w:rsidR="0030417E" w:rsidRPr="003A3B9C" w:rsidP="00B05742" w14:paraId="2E3E5798" w14:textId="6CF07C45">
      <w:pPr>
        <w:jc w:val="both"/>
        <w:rPr>
          <w:rFonts w:ascii="Arial Narrow" w:hAnsi="Arial Narrow"/>
          <w:sz w:val="24"/>
          <w:szCs w:val="24"/>
          <w:lang w:val="en-US"/>
        </w:rPr>
      </w:pPr>
      <w:r w:rsidRPr="003C79C0">
        <w:rPr>
          <w:rFonts w:ascii="Arial Narrow" w:hAnsi="Arial Narrow"/>
          <w:sz w:val="24"/>
          <w:szCs w:val="24"/>
          <w:lang w:val="en-US"/>
        </w:rPr>
        <w:t xml:space="preserve">This case challenged the failure </w:t>
      </w:r>
      <w:r w:rsidR="00AC571F">
        <w:rPr>
          <w:rFonts w:ascii="Arial Narrow" w:hAnsi="Arial Narrow"/>
          <w:sz w:val="24"/>
          <w:szCs w:val="24"/>
          <w:lang w:val="en-US"/>
        </w:rPr>
        <w:t>of</w:t>
      </w:r>
      <w:r w:rsidRPr="003C79C0">
        <w:rPr>
          <w:rFonts w:ascii="Arial Narrow" w:hAnsi="Arial Narrow"/>
          <w:sz w:val="24"/>
          <w:szCs w:val="24"/>
          <w:lang w:val="en-US"/>
        </w:rPr>
        <w:t xml:space="preserve"> Mulago Hospital to account for the disappearance of the couple's baby. In its judgment, </w:t>
      </w:r>
      <w:r w:rsidRPr="00910346">
        <w:rPr>
          <w:rFonts w:ascii="Arial Narrow" w:hAnsi="Arial Narrow"/>
          <w:sz w:val="24"/>
          <w:szCs w:val="24"/>
          <w:lang w:val="en-US"/>
        </w:rPr>
        <w:t xml:space="preserve">the </w:t>
      </w:r>
      <w:r w:rsidRPr="003C79C0">
        <w:rPr>
          <w:rFonts w:ascii="Arial Narrow" w:hAnsi="Arial Narrow"/>
          <w:sz w:val="24"/>
          <w:szCs w:val="24"/>
          <w:lang w:val="en-US"/>
        </w:rPr>
        <w:t xml:space="preserve">court found the defendants to have subjected the couple to cruel, inhuman, and degrading treatment and violated their right to health and access to information. </w:t>
      </w:r>
      <w:r w:rsidR="00AC571F">
        <w:rPr>
          <w:rFonts w:ascii="Arial Narrow" w:hAnsi="Arial Narrow"/>
          <w:sz w:val="24"/>
          <w:szCs w:val="24"/>
          <w:lang w:val="en-US"/>
        </w:rPr>
        <w:t>The court</w:t>
      </w:r>
      <w:r w:rsidRPr="003C79C0">
        <w:rPr>
          <w:rFonts w:ascii="Arial Narrow" w:hAnsi="Arial Narrow"/>
          <w:sz w:val="24"/>
          <w:szCs w:val="24"/>
          <w:lang w:val="en-US"/>
        </w:rPr>
        <w:t xml:space="preserve"> directed Mulago National Referral Hospital to </w:t>
      </w:r>
      <w:r w:rsidR="00AC571F">
        <w:rPr>
          <w:rFonts w:ascii="Arial Narrow" w:hAnsi="Arial Narrow"/>
          <w:sz w:val="24"/>
          <w:szCs w:val="24"/>
          <w:lang w:val="en-US"/>
        </w:rPr>
        <w:t>take</w:t>
      </w:r>
      <w:r w:rsidRPr="003A3B9C">
        <w:rPr>
          <w:rFonts w:ascii="Arial Narrow" w:hAnsi="Arial Narrow"/>
          <w:sz w:val="24"/>
          <w:szCs w:val="24"/>
          <w:lang w:val="en-US"/>
        </w:rPr>
        <w:t xml:space="preserve"> steps to ensure and enhance the respect, movement</w:t>
      </w:r>
      <w:r w:rsidR="00AC571F">
        <w:rPr>
          <w:rFonts w:ascii="Arial Narrow" w:hAnsi="Arial Narrow"/>
          <w:sz w:val="24"/>
          <w:szCs w:val="24"/>
          <w:lang w:val="en-US"/>
        </w:rPr>
        <w:t>,</w:t>
      </w:r>
      <w:r w:rsidRPr="003A3B9C">
        <w:rPr>
          <w:rFonts w:ascii="Arial Narrow" w:hAnsi="Arial Narrow"/>
          <w:sz w:val="24"/>
          <w:szCs w:val="24"/>
          <w:lang w:val="en-US"/>
        </w:rPr>
        <w:t xml:space="preserve"> and safety of babies in the facility, dead or alive, access to psychological care services by the family, Police to conclusively investigate the disappearance of the child, CEHURD to have access to the hospital to oversee the implementation, the midwife who handled the delivery to be held accountable and the couple were awarded damages. </w:t>
      </w:r>
    </w:p>
    <w:p w:rsidR="003C79C0" w:rsidRPr="003A3B9C" w:rsidP="00B05742" w14:paraId="36B2AFA6" w14:textId="60DC460C">
      <w:pPr>
        <w:jc w:val="both"/>
        <w:rPr>
          <w:rFonts w:ascii="Arial Narrow" w:hAnsi="Arial Narrow"/>
          <w:sz w:val="24"/>
          <w:szCs w:val="24"/>
          <w:lang w:val="en-US"/>
        </w:rPr>
      </w:pPr>
      <w:r w:rsidRPr="003A3B9C">
        <w:rPr>
          <w:rFonts w:ascii="Arial Narrow" w:hAnsi="Arial Narrow"/>
          <w:sz w:val="24"/>
          <w:szCs w:val="24"/>
          <w:lang w:val="en-US"/>
        </w:rPr>
        <w:t>In</w:t>
      </w:r>
      <w:r w:rsidRPr="003A3B9C">
        <w:rPr>
          <w:rFonts w:ascii="Arial Narrow" w:hAnsi="Arial Narrow"/>
          <w:sz w:val="24"/>
          <w:szCs w:val="24"/>
          <w:lang w:val="en-US"/>
        </w:rPr>
        <w:t xml:space="preserve"> </w:t>
      </w:r>
      <w:r w:rsidR="00AC571F">
        <w:rPr>
          <w:rFonts w:ascii="Arial Narrow" w:hAnsi="Arial Narrow"/>
          <w:sz w:val="24"/>
          <w:szCs w:val="24"/>
          <w:lang w:val="en-US"/>
        </w:rPr>
        <w:t xml:space="preserve">compliance with the judgement, the </w:t>
      </w:r>
      <w:r w:rsidRPr="003A3B9C">
        <w:rPr>
          <w:rFonts w:ascii="Arial Narrow" w:hAnsi="Arial Narrow"/>
          <w:sz w:val="24"/>
          <w:szCs w:val="24"/>
          <w:lang w:val="en-US"/>
        </w:rPr>
        <w:t xml:space="preserve">hospital </w:t>
      </w:r>
      <w:r w:rsidR="00AC571F">
        <w:rPr>
          <w:rFonts w:ascii="Arial Narrow" w:hAnsi="Arial Narrow"/>
          <w:sz w:val="24"/>
          <w:szCs w:val="24"/>
          <w:lang w:val="en-US"/>
        </w:rPr>
        <w:t xml:space="preserve">now </w:t>
      </w:r>
      <w:r w:rsidRPr="003A3B9C">
        <w:rPr>
          <w:rFonts w:ascii="Arial Narrow" w:hAnsi="Arial Narrow"/>
          <w:sz w:val="24"/>
          <w:szCs w:val="24"/>
          <w:lang w:val="en-US"/>
        </w:rPr>
        <w:t xml:space="preserve">has standard operative guidelines, installed security measures in the new </w:t>
      </w:r>
      <w:r w:rsidRPr="003C79C0">
        <w:rPr>
          <w:rFonts w:ascii="Arial Narrow" w:hAnsi="Arial Narrow"/>
          <w:sz w:val="24"/>
          <w:szCs w:val="24"/>
          <w:lang w:val="en-US"/>
        </w:rPr>
        <w:t>Mulago Specialized Women and Neonatal Hospital, provided psychological care to the couple</w:t>
      </w:r>
      <w:r w:rsidR="00AC571F">
        <w:rPr>
          <w:rFonts w:ascii="Arial Narrow" w:hAnsi="Arial Narrow"/>
          <w:sz w:val="24"/>
          <w:szCs w:val="24"/>
          <w:lang w:val="en-US"/>
        </w:rPr>
        <w:t>,</w:t>
      </w:r>
      <w:r w:rsidRPr="003C79C0">
        <w:rPr>
          <w:rFonts w:ascii="Arial Narrow" w:hAnsi="Arial Narrow"/>
          <w:sz w:val="24"/>
          <w:szCs w:val="24"/>
          <w:lang w:val="en-US"/>
        </w:rPr>
        <w:t xml:space="preserve"> and committed to writing to pay damages awarded to the couple.</w:t>
      </w:r>
      <w:r w:rsidRPr="003A3B9C">
        <w:rPr>
          <w:rFonts w:ascii="Arial Narrow" w:hAnsi="Arial Narrow"/>
          <w:sz w:val="24"/>
          <w:szCs w:val="24"/>
          <w:lang w:val="en-US"/>
        </w:rPr>
        <w:t xml:space="preserve">  </w:t>
      </w:r>
      <w:r w:rsidRPr="003A3B9C" w:rsidR="0030417E">
        <w:rPr>
          <w:rFonts w:ascii="Arial Narrow" w:hAnsi="Arial Narrow"/>
          <w:sz w:val="24"/>
          <w:szCs w:val="24"/>
          <w:lang w:val="en-US"/>
        </w:rPr>
        <w:t>CEHURD</w:t>
      </w:r>
      <w:r w:rsidRPr="003A3B9C">
        <w:rPr>
          <w:rFonts w:ascii="Arial Narrow" w:hAnsi="Arial Narrow"/>
          <w:sz w:val="24"/>
          <w:szCs w:val="24"/>
          <w:lang w:val="en-US"/>
        </w:rPr>
        <w:t xml:space="preserve"> also develop</w:t>
      </w:r>
      <w:r w:rsidRPr="003A3B9C" w:rsidR="0030417E">
        <w:rPr>
          <w:rFonts w:ascii="Arial Narrow" w:hAnsi="Arial Narrow"/>
          <w:sz w:val="24"/>
          <w:szCs w:val="24"/>
          <w:lang w:val="en-US"/>
        </w:rPr>
        <w:t>ed</w:t>
      </w:r>
      <w:r w:rsidRPr="003A3B9C">
        <w:rPr>
          <w:rFonts w:ascii="Arial Narrow" w:hAnsi="Arial Narrow"/>
          <w:sz w:val="24"/>
          <w:szCs w:val="24"/>
          <w:lang w:val="en-US"/>
        </w:rPr>
        <w:t xml:space="preserve"> a case digest and policy brief of the case for dissemination</w:t>
      </w:r>
      <w:r w:rsidRPr="003A3B9C" w:rsidR="0030417E">
        <w:rPr>
          <w:rFonts w:ascii="Arial Narrow" w:hAnsi="Arial Narrow"/>
          <w:sz w:val="24"/>
          <w:szCs w:val="24"/>
          <w:lang w:val="en-US"/>
        </w:rPr>
        <w:t xml:space="preserve"> and future advocacy.</w:t>
      </w:r>
    </w:p>
    <w:p w:rsidR="00CB0B9E" w:rsidRPr="00910346" w:rsidP="002361B9" w14:paraId="3FA58D02" w14:textId="3DB10A27">
      <w:pPr>
        <w:pStyle w:val="ListParagraph"/>
        <w:numPr>
          <w:ilvl w:val="0"/>
          <w:numId w:val="3"/>
        </w:numPr>
        <w:jc w:val="both"/>
        <w:rPr>
          <w:rFonts w:ascii="Arial Narrow" w:hAnsi="Arial Narrow"/>
          <w:b/>
          <w:sz w:val="24"/>
          <w:szCs w:val="24"/>
          <w:lang w:val="en-US"/>
        </w:rPr>
      </w:pPr>
      <w:r w:rsidRPr="00910346">
        <w:rPr>
          <w:rFonts w:ascii="Arial Narrow" w:hAnsi="Arial Narrow"/>
          <w:b/>
          <w:sz w:val="24"/>
          <w:szCs w:val="24"/>
          <w:lang w:val="en-US"/>
        </w:rPr>
        <w:t xml:space="preserve">CEHURD and </w:t>
      </w:r>
      <w:r w:rsidRPr="00910346" w:rsidR="00D3617D">
        <w:rPr>
          <w:rFonts w:ascii="Arial Narrow" w:hAnsi="Arial Narrow"/>
          <w:b/>
          <w:sz w:val="24"/>
          <w:szCs w:val="24"/>
          <w:lang w:val="en-US"/>
        </w:rPr>
        <w:t xml:space="preserve">3 </w:t>
      </w:r>
      <w:r w:rsidRPr="00910346">
        <w:rPr>
          <w:rFonts w:ascii="Arial Narrow" w:hAnsi="Arial Narrow"/>
          <w:b/>
          <w:sz w:val="24"/>
          <w:szCs w:val="24"/>
          <w:lang w:val="en-US"/>
        </w:rPr>
        <w:t>Ors</w:t>
      </w:r>
      <w:r w:rsidRPr="00910346">
        <w:rPr>
          <w:rFonts w:ascii="Arial Narrow" w:hAnsi="Arial Narrow"/>
          <w:b/>
          <w:sz w:val="24"/>
          <w:szCs w:val="24"/>
          <w:lang w:val="en-US"/>
        </w:rPr>
        <w:t xml:space="preserve"> </w:t>
      </w:r>
      <w:r w:rsidRPr="00910346" w:rsidR="001530D4">
        <w:rPr>
          <w:rFonts w:ascii="Arial Narrow" w:hAnsi="Arial Narrow"/>
          <w:b/>
          <w:sz w:val="24"/>
          <w:szCs w:val="24"/>
          <w:lang w:val="en-US"/>
        </w:rPr>
        <w:t>V</w:t>
      </w:r>
      <w:r w:rsidRPr="00910346">
        <w:rPr>
          <w:rFonts w:ascii="Arial Narrow" w:hAnsi="Arial Narrow"/>
          <w:b/>
          <w:sz w:val="24"/>
          <w:szCs w:val="24"/>
          <w:lang w:val="en-US"/>
        </w:rPr>
        <w:t xml:space="preserve"> </w:t>
      </w:r>
      <w:r w:rsidRPr="00910346">
        <w:rPr>
          <w:rFonts w:ascii="Arial Narrow" w:hAnsi="Arial Narrow"/>
          <w:b/>
          <w:sz w:val="24"/>
          <w:szCs w:val="24"/>
          <w:lang w:val="en-US"/>
        </w:rPr>
        <w:t>Buyende</w:t>
      </w:r>
      <w:r w:rsidRPr="00910346">
        <w:rPr>
          <w:rFonts w:ascii="Arial Narrow" w:hAnsi="Arial Narrow"/>
          <w:b/>
          <w:sz w:val="24"/>
          <w:szCs w:val="24"/>
          <w:lang w:val="en-US"/>
        </w:rPr>
        <w:t xml:space="preserve"> District Local Government and Attorney General High Court Civil Suit No. 137 of 2017</w:t>
      </w:r>
    </w:p>
    <w:p w:rsidR="00CB0B9E" w:rsidRPr="00910346" w:rsidP="00B05742" w14:paraId="6BAE7B03" w14:textId="4CE1C4ED">
      <w:pPr>
        <w:jc w:val="both"/>
        <w:rPr>
          <w:rFonts w:ascii="Arial Narrow" w:eastAsia="Times New Roman" w:hAnsi="Arial Narrow" w:cs="Arial"/>
          <w:color w:val="2D2D2D"/>
          <w:spacing w:val="8"/>
          <w:kern w:val="0"/>
          <w:sz w:val="24"/>
          <w:szCs w:val="24"/>
          <w:lang w:eastAsia=""/>
          <w14:ligatures w14:val="none"/>
        </w:rPr>
      </w:pPr>
      <w:r w:rsidRPr="00910346">
        <w:rPr>
          <w:rFonts w:ascii="Arial Narrow" w:hAnsi="Arial Narrow"/>
          <w:sz w:val="24"/>
          <w:szCs w:val="24"/>
          <w:lang w:val="en-US"/>
        </w:rPr>
        <w:t xml:space="preserve">In this case, Perez Mwase, a 12-year-old boy with autism failed to get services in his district, Buyende District. </w:t>
      </w:r>
      <w:r w:rsidR="00AC571F">
        <w:rPr>
          <w:rFonts w:ascii="Arial Narrow" w:hAnsi="Arial Narrow"/>
          <w:sz w:val="24"/>
          <w:szCs w:val="24"/>
          <w:lang w:val="en-US"/>
        </w:rPr>
        <w:t>The applicants</w:t>
      </w:r>
      <w:r w:rsidRPr="00910346">
        <w:rPr>
          <w:rFonts w:ascii="Arial Narrow" w:hAnsi="Arial Narrow"/>
          <w:sz w:val="24"/>
          <w:szCs w:val="24"/>
        </w:rPr>
        <w:t xml:space="preserve"> filed a case against Buyende District Local Government and the Attorney General in the High Court of Uganda at Jinja </w:t>
      </w:r>
      <w:r w:rsidRPr="00910346">
        <w:rPr>
          <w:rFonts w:ascii="Arial Narrow" w:hAnsi="Arial Narrow"/>
          <w:sz w:val="24"/>
          <w:szCs w:val="24"/>
          <w:lang w:val="en-US"/>
        </w:rPr>
        <w:t>challenging the</w:t>
      </w:r>
      <w:r w:rsidRPr="00910346">
        <w:rPr>
          <w:rFonts w:ascii="Arial Narrow" w:hAnsi="Arial Narrow"/>
          <w:sz w:val="24"/>
          <w:szCs w:val="24"/>
        </w:rPr>
        <w:t xml:space="preserve"> Government’s failure </w:t>
      </w:r>
      <w:r w:rsidRPr="00910346">
        <w:rPr>
          <w:rFonts w:ascii="Arial Narrow" w:hAnsi="Arial Narrow"/>
          <w:sz w:val="24"/>
          <w:szCs w:val="24"/>
          <w:lang w:val="en-US"/>
        </w:rPr>
        <w:t>(</w:t>
      </w:r>
      <w:r w:rsidRPr="00910346">
        <w:rPr>
          <w:rFonts w:ascii="Arial Narrow" w:hAnsi="Arial Narrow"/>
          <w:sz w:val="24"/>
          <w:szCs w:val="24"/>
        </w:rPr>
        <w:t>through Buyende District Local Government</w:t>
      </w:r>
      <w:r w:rsidRPr="00910346">
        <w:rPr>
          <w:rFonts w:ascii="Arial Narrow" w:hAnsi="Arial Narrow"/>
          <w:sz w:val="24"/>
          <w:szCs w:val="24"/>
          <w:lang w:val="en-US"/>
        </w:rPr>
        <w:t>)</w:t>
      </w:r>
      <w:r w:rsidRPr="00910346">
        <w:rPr>
          <w:rFonts w:ascii="Arial Narrow" w:hAnsi="Arial Narrow"/>
          <w:sz w:val="24"/>
          <w:szCs w:val="24"/>
        </w:rPr>
        <w:t xml:space="preserve"> to provide outreach services and early detection services to Perez hence denying him access to health services for early detection of his condition at an early stage of his life. The case also challenged the State's failure to provide medical expertise, rehabilitation, and rehabilitation centers that are easily accessible by persons with disabilities which violates the right to Health, equality, and freedom from discrimination.</w:t>
      </w:r>
    </w:p>
    <w:p w:rsidR="00CB0B9E" w:rsidP="00B05742" w14:paraId="792BAA9D" w14:textId="62231165">
      <w:pPr>
        <w:jc w:val="both"/>
        <w:rPr>
          <w:rFonts w:ascii="Arial Narrow" w:hAnsi="Arial Narrow"/>
          <w:sz w:val="24"/>
          <w:szCs w:val="24"/>
          <w:lang w:val="en-US"/>
        </w:rPr>
      </w:pPr>
      <w:r w:rsidRPr="00910346">
        <w:rPr>
          <w:rFonts w:ascii="Arial Narrow" w:hAnsi="Arial Narrow"/>
          <w:sz w:val="24"/>
          <w:szCs w:val="24"/>
          <w:lang w:val="en-US"/>
        </w:rPr>
        <w:t xml:space="preserve">In its 2022 </w:t>
      </w:r>
      <w:r w:rsidRPr="00910346" w:rsidR="001530D4">
        <w:rPr>
          <w:rFonts w:ascii="Arial Narrow" w:hAnsi="Arial Narrow"/>
          <w:sz w:val="24"/>
          <w:szCs w:val="24"/>
          <w:lang w:val="en-US"/>
        </w:rPr>
        <w:t>judgment</w:t>
      </w:r>
      <w:r w:rsidRPr="00910346">
        <w:rPr>
          <w:rFonts w:ascii="Arial Narrow" w:hAnsi="Arial Narrow"/>
          <w:sz w:val="24"/>
          <w:szCs w:val="24"/>
          <w:lang w:val="en-US"/>
        </w:rPr>
        <w:t>, the High Court found that the failure</w:t>
      </w:r>
      <w:r w:rsidRPr="00910346">
        <w:rPr>
          <w:rFonts w:ascii="Arial Narrow" w:hAnsi="Arial Narrow"/>
          <w:sz w:val="24"/>
          <w:szCs w:val="24"/>
        </w:rPr>
        <w:t xml:space="preserve"> of the defendants to provide medical expertise, rehabilitation</w:t>
      </w:r>
      <w:r w:rsidRPr="00910346">
        <w:rPr>
          <w:rFonts w:ascii="Arial Narrow" w:hAnsi="Arial Narrow"/>
          <w:sz w:val="24"/>
          <w:szCs w:val="24"/>
        </w:rPr>
        <w:t>,</w:t>
      </w:r>
      <w:r w:rsidRPr="00910346">
        <w:rPr>
          <w:rFonts w:ascii="Arial Narrow" w:hAnsi="Arial Narrow"/>
          <w:sz w:val="24"/>
          <w:szCs w:val="24"/>
        </w:rPr>
        <w:t xml:space="preserve"> and rehabilitation centers </w:t>
      </w:r>
      <w:r w:rsidRPr="00910346" w:rsidR="0078332A">
        <w:rPr>
          <w:rFonts w:ascii="Arial Narrow" w:hAnsi="Arial Narrow"/>
          <w:sz w:val="24"/>
          <w:szCs w:val="24"/>
        </w:rPr>
        <w:t>that</w:t>
      </w:r>
      <w:r w:rsidRPr="00910346">
        <w:rPr>
          <w:rFonts w:ascii="Arial Narrow" w:hAnsi="Arial Narrow"/>
          <w:sz w:val="24"/>
          <w:szCs w:val="24"/>
        </w:rPr>
        <w:t xml:space="preserve"> are easily accessible by persons with </w:t>
      </w:r>
      <w:r w:rsidRPr="00910346" w:rsidR="0078332A">
        <w:rPr>
          <w:rFonts w:ascii="Arial Narrow" w:hAnsi="Arial Narrow"/>
          <w:sz w:val="24"/>
          <w:szCs w:val="24"/>
        </w:rPr>
        <w:t>disabilities</w:t>
      </w:r>
      <w:r w:rsidRPr="00910346">
        <w:rPr>
          <w:rFonts w:ascii="Arial Narrow" w:hAnsi="Arial Narrow"/>
          <w:sz w:val="24"/>
          <w:szCs w:val="24"/>
        </w:rPr>
        <w:t xml:space="preserve"> is a violation of </w:t>
      </w:r>
      <w:r w:rsidRPr="00910346" w:rsidR="0078332A">
        <w:rPr>
          <w:rFonts w:ascii="Arial Narrow" w:hAnsi="Arial Narrow"/>
          <w:sz w:val="24"/>
          <w:szCs w:val="24"/>
        </w:rPr>
        <w:t>the</w:t>
      </w:r>
      <w:r w:rsidRPr="00910346">
        <w:rPr>
          <w:rFonts w:ascii="Arial Narrow" w:hAnsi="Arial Narrow"/>
          <w:sz w:val="24"/>
          <w:szCs w:val="24"/>
        </w:rPr>
        <w:t xml:space="preserve"> right to health, right to equality</w:t>
      </w:r>
      <w:r w:rsidRPr="00910346" w:rsidR="0078332A">
        <w:rPr>
          <w:rFonts w:ascii="Arial Narrow" w:hAnsi="Arial Narrow"/>
          <w:sz w:val="24"/>
          <w:szCs w:val="24"/>
        </w:rPr>
        <w:t>,</w:t>
      </w:r>
      <w:r w:rsidRPr="00910346">
        <w:rPr>
          <w:rFonts w:ascii="Arial Narrow" w:hAnsi="Arial Narrow"/>
          <w:sz w:val="24"/>
          <w:szCs w:val="24"/>
        </w:rPr>
        <w:t xml:space="preserve"> and freedom from discrimination. The judgement emphasizes that it is high time the State of Uganda through the responsible duty bearers provides early detection and management services for persons with neurological disorders at the primary health care </w:t>
      </w:r>
      <w:r w:rsidRPr="00910346" w:rsidR="0078332A">
        <w:rPr>
          <w:rFonts w:ascii="Arial Narrow" w:hAnsi="Arial Narrow"/>
          <w:sz w:val="24"/>
          <w:szCs w:val="24"/>
        </w:rPr>
        <w:t>level</w:t>
      </w:r>
      <w:r w:rsidRPr="00910346">
        <w:rPr>
          <w:rFonts w:ascii="Arial Narrow" w:hAnsi="Arial Narrow"/>
          <w:sz w:val="24"/>
          <w:szCs w:val="24"/>
          <w:lang w:val="en-US"/>
        </w:rPr>
        <w:t>.</w:t>
      </w:r>
    </w:p>
    <w:p w:rsidR="00314615" w:rsidRPr="008361D6" w:rsidP="008361D6" w14:paraId="1C7D53B0" w14:textId="71D49EA6">
      <w:pPr>
        <w:pStyle w:val="ListParagraph"/>
        <w:numPr>
          <w:ilvl w:val="0"/>
          <w:numId w:val="3"/>
        </w:numPr>
        <w:jc w:val="both"/>
        <w:rPr>
          <w:rFonts w:ascii="Arial Narrow" w:hAnsi="Arial Narrow"/>
          <w:sz w:val="24"/>
          <w:szCs w:val="24"/>
          <w:lang w:val="en-US"/>
        </w:rPr>
      </w:pPr>
      <w:r w:rsidRPr="008361D6">
        <w:rPr>
          <w:rFonts w:ascii="Arial Narrow" w:hAnsi="Arial Narrow"/>
          <w:b/>
          <w:bCs/>
          <w:sz w:val="24"/>
          <w:szCs w:val="24"/>
        </w:rPr>
        <w:t>HIV Constitutional petition no. 24 of 2016</w:t>
      </w:r>
    </w:p>
    <w:p w:rsidR="00314615" w:rsidRPr="008361D6" w:rsidP="00B05742" w14:paraId="3093DC37" w14:textId="39C4AAF1">
      <w:pPr>
        <w:jc w:val="both"/>
        <w:rPr>
          <w:rFonts w:ascii="Arial Narrow" w:hAnsi="Arial Narrow"/>
          <w:sz w:val="24"/>
          <w:szCs w:val="24"/>
          <w:lang w:val="en-US"/>
        </w:rPr>
      </w:pPr>
      <w:r w:rsidRPr="00314615">
        <w:rPr>
          <w:rFonts w:ascii="Arial Narrow" w:hAnsi="Arial Narrow"/>
          <w:sz w:val="24"/>
          <w:szCs w:val="24"/>
        </w:rPr>
        <w:t>Uganda Network on Law, Ethics and HIV/AIDS (UGANET), Ben Twinomugisha of School of Law – Makerere and Lilian Mworeko, Executive Director, International Community of Women Living with HIV Eastern Africa (ICWEA), filed the HIV petition on behalf of the People Living with HIV and HIV Law coalition</w:t>
      </w:r>
      <w:r w:rsidR="008361D6">
        <w:rPr>
          <w:rFonts w:ascii="Arial Narrow" w:hAnsi="Arial Narrow"/>
          <w:sz w:val="24"/>
          <w:szCs w:val="24"/>
          <w:lang w:val="en-US"/>
        </w:rPr>
        <w:t xml:space="preserve"> to </w:t>
      </w:r>
      <w:r w:rsidRPr="00314615" w:rsidR="008361D6">
        <w:rPr>
          <w:rFonts w:ascii="Arial Narrow" w:hAnsi="Arial Narrow"/>
          <w:sz w:val="24"/>
          <w:szCs w:val="24"/>
        </w:rPr>
        <w:t>challenges sections 18(e), 41, 43</w:t>
      </w:r>
      <w:r w:rsidR="008361D6">
        <w:rPr>
          <w:rFonts w:ascii="Arial Narrow" w:hAnsi="Arial Narrow"/>
          <w:sz w:val="24"/>
          <w:szCs w:val="24"/>
        </w:rPr>
        <w:t>,</w:t>
      </w:r>
      <w:r w:rsidRPr="00314615" w:rsidR="008361D6">
        <w:rPr>
          <w:rFonts w:ascii="Arial Narrow" w:hAnsi="Arial Narrow"/>
          <w:sz w:val="24"/>
          <w:szCs w:val="24"/>
        </w:rPr>
        <w:t xml:space="preserve"> and 44 of the HIV Prevention and Control Act, 2015</w:t>
      </w:r>
    </w:p>
    <w:p w:rsidR="008361D6" w:rsidP="00B05742" w14:paraId="5E0913CC" w14:textId="55B0F941">
      <w:pPr>
        <w:jc w:val="both"/>
        <w:rPr>
          <w:rFonts w:ascii="Arial Narrow" w:hAnsi="Arial Narrow"/>
          <w:sz w:val="24"/>
          <w:szCs w:val="24"/>
          <w:lang w:val="en-US"/>
        </w:rPr>
      </w:pPr>
      <w:r>
        <w:rPr>
          <w:rFonts w:ascii="Arial Narrow" w:hAnsi="Arial Narrow"/>
          <w:sz w:val="24"/>
          <w:szCs w:val="24"/>
          <w:lang w:val="en-US"/>
        </w:rPr>
        <w:t>The petitioners opined that the</w:t>
      </w:r>
      <w:r w:rsidRPr="008361D6">
        <w:rPr>
          <w:rFonts w:ascii="Arial Narrow" w:hAnsi="Arial Narrow"/>
          <w:sz w:val="24"/>
          <w:szCs w:val="24"/>
        </w:rPr>
        <w:t xml:space="preserve"> Act </w:t>
      </w:r>
      <w:r>
        <w:rPr>
          <w:rFonts w:ascii="Arial Narrow" w:hAnsi="Arial Narrow"/>
          <w:sz w:val="24"/>
          <w:szCs w:val="24"/>
          <w:lang w:val="en-US"/>
        </w:rPr>
        <w:t>put</w:t>
      </w:r>
      <w:r w:rsidRPr="008361D6">
        <w:rPr>
          <w:rFonts w:ascii="Arial Narrow" w:hAnsi="Arial Narrow"/>
          <w:sz w:val="24"/>
          <w:szCs w:val="24"/>
        </w:rPr>
        <w:t xml:space="preserve"> stringent punishments for HIV nondisclosure, exposure, and transmission, which the community of People Living with HIV and CSO HIV law coalition </w:t>
      </w:r>
      <w:r>
        <w:rPr>
          <w:rFonts w:ascii="Arial Narrow" w:hAnsi="Arial Narrow"/>
          <w:sz w:val="24"/>
          <w:szCs w:val="24"/>
          <w:lang w:val="en-US"/>
        </w:rPr>
        <w:t>found</w:t>
      </w:r>
      <w:r w:rsidRPr="008361D6">
        <w:rPr>
          <w:rFonts w:ascii="Arial Narrow" w:hAnsi="Arial Narrow"/>
          <w:sz w:val="24"/>
          <w:szCs w:val="24"/>
        </w:rPr>
        <w:t xml:space="preserve"> unfair and, if not addressed by the court, </w:t>
      </w:r>
      <w:r>
        <w:rPr>
          <w:rFonts w:ascii="Arial Narrow" w:hAnsi="Arial Narrow"/>
          <w:sz w:val="24"/>
          <w:szCs w:val="24"/>
          <w:lang w:val="en-US"/>
        </w:rPr>
        <w:t>would</w:t>
      </w:r>
      <w:r w:rsidRPr="008361D6">
        <w:rPr>
          <w:rFonts w:ascii="Arial Narrow" w:hAnsi="Arial Narrow"/>
          <w:sz w:val="24"/>
          <w:szCs w:val="24"/>
        </w:rPr>
        <w:t xml:space="preserve"> hinder people from accessing </w:t>
      </w:r>
      <w:r>
        <w:rPr>
          <w:rFonts w:ascii="Arial Narrow" w:hAnsi="Arial Narrow"/>
          <w:sz w:val="24"/>
          <w:szCs w:val="24"/>
        </w:rPr>
        <w:t>HIV-related</w:t>
      </w:r>
      <w:r w:rsidRPr="008361D6">
        <w:rPr>
          <w:rFonts w:ascii="Arial Narrow" w:hAnsi="Arial Narrow"/>
          <w:sz w:val="24"/>
          <w:szCs w:val="24"/>
        </w:rPr>
        <w:t xml:space="preserve"> services – and this will have a far-reaching impact on attaining the global HIV goal of ending AID by 2030</w:t>
      </w:r>
      <w:r>
        <w:rPr>
          <w:rFonts w:ascii="Arial Narrow" w:hAnsi="Arial Narrow"/>
          <w:sz w:val="24"/>
          <w:szCs w:val="24"/>
          <w:lang w:val="en-US"/>
        </w:rPr>
        <w:t>.</w:t>
      </w:r>
    </w:p>
    <w:p w:rsidR="008361D6" w:rsidRPr="00A57C25" w:rsidP="00B05742" w14:paraId="22C82917" w14:textId="7884831F">
      <w:pPr>
        <w:jc w:val="both"/>
        <w:rPr>
          <w:rFonts w:ascii="Arial Narrow" w:hAnsi="Arial Narrow"/>
          <w:sz w:val="24"/>
          <w:szCs w:val="24"/>
          <w:lang w:val="en-US"/>
        </w:rPr>
      </w:pPr>
      <w:r>
        <w:rPr>
          <w:rFonts w:ascii="Arial Narrow" w:hAnsi="Arial Narrow"/>
          <w:sz w:val="24"/>
          <w:szCs w:val="24"/>
          <w:lang w:val="en-US"/>
        </w:rPr>
        <w:t xml:space="preserve">The </w:t>
      </w:r>
      <w:r w:rsidR="00A57C25">
        <w:rPr>
          <w:rFonts w:ascii="Arial Narrow" w:hAnsi="Arial Narrow"/>
          <w:sz w:val="24"/>
          <w:szCs w:val="24"/>
          <w:lang w:val="en-US"/>
        </w:rPr>
        <w:t>case signifies that</w:t>
      </w:r>
      <w:r>
        <w:rPr>
          <w:rFonts w:ascii="Arial Narrow" w:hAnsi="Arial Narrow"/>
          <w:sz w:val="24"/>
          <w:szCs w:val="24"/>
          <w:lang w:val="en-US"/>
        </w:rPr>
        <w:t xml:space="preserve"> </w:t>
      </w:r>
      <w:r w:rsidRPr="008361D6">
        <w:rPr>
          <w:rFonts w:ascii="Arial Narrow" w:hAnsi="Arial Narrow"/>
          <w:sz w:val="24"/>
          <w:szCs w:val="24"/>
        </w:rPr>
        <w:t>it is important to note that HIV is a disease like any other, with thousands of children and young people facing the daily fears of living with a disease they were born with, but also with the hope that the fight against HIV is making huge milestones that could lead to finding a permanent cure, and prevent its further spread if the right attitudes at all levels are employed</w:t>
      </w:r>
      <w:r w:rsidR="009C067D">
        <w:rPr>
          <w:rFonts w:ascii="Arial Narrow" w:hAnsi="Arial Narrow"/>
          <w:sz w:val="24"/>
          <w:szCs w:val="24"/>
          <w:lang w:val="en-US"/>
        </w:rPr>
        <w:t>.</w:t>
      </w:r>
    </w:p>
    <w:p w:rsidR="003C79C0" w:rsidRPr="003A3B9C" w:rsidP="002361B9" w14:paraId="7D1B560E" w14:textId="4DB820BD">
      <w:pPr>
        <w:pStyle w:val="ListParagraph"/>
        <w:numPr>
          <w:ilvl w:val="0"/>
          <w:numId w:val="3"/>
        </w:numPr>
        <w:jc w:val="both"/>
        <w:rPr>
          <w:rFonts w:ascii="Arial Narrow" w:hAnsi="Arial Narrow"/>
          <w:sz w:val="24"/>
          <w:szCs w:val="24"/>
          <w:lang w:val="en-US"/>
        </w:rPr>
      </w:pPr>
      <w:r w:rsidRPr="00910346">
        <w:rPr>
          <w:rFonts w:ascii="Arial Narrow" w:hAnsi="Arial Narrow"/>
          <w:b/>
          <w:sz w:val="24"/>
          <w:szCs w:val="24"/>
          <w:lang w:val="en-US"/>
        </w:rPr>
        <w:t>CEHURD and Others vs. The Registered Trustees of Mengo Hospital and Others, Civil Suit No. 176 of 2015.</w:t>
      </w:r>
    </w:p>
    <w:p w:rsidR="003C79C0" w:rsidRPr="003A3B9C" w:rsidP="00B05742" w14:paraId="1CC144EF" w14:textId="5255CF16">
      <w:pPr>
        <w:jc w:val="both"/>
        <w:rPr>
          <w:rFonts w:ascii="Arial Narrow" w:hAnsi="Arial Narrow"/>
          <w:sz w:val="24"/>
          <w:szCs w:val="24"/>
          <w:lang w:val="en-US"/>
        </w:rPr>
      </w:pPr>
      <w:r w:rsidRPr="003A3B9C">
        <w:rPr>
          <w:rFonts w:ascii="Arial Narrow" w:hAnsi="Arial Narrow"/>
          <w:sz w:val="24"/>
          <w:szCs w:val="24"/>
          <w:lang w:val="en-US"/>
        </w:rPr>
        <w:t xml:space="preserve">This case challenged the practice of allowing unsupervised </w:t>
      </w:r>
      <w:r w:rsidRPr="003A3B9C" w:rsidR="0030417E">
        <w:rPr>
          <w:rFonts w:ascii="Arial Narrow" w:hAnsi="Arial Narrow"/>
          <w:sz w:val="24"/>
          <w:szCs w:val="24"/>
          <w:lang w:val="en-US"/>
        </w:rPr>
        <w:t>student</w:t>
      </w:r>
      <w:r w:rsidRPr="003A3B9C">
        <w:rPr>
          <w:rFonts w:ascii="Arial Narrow" w:hAnsi="Arial Narrow"/>
          <w:sz w:val="24"/>
          <w:szCs w:val="24"/>
          <w:lang w:val="en-US"/>
        </w:rPr>
        <w:t xml:space="preserve"> nurses/medical interns to administer treatment </w:t>
      </w:r>
      <w:r w:rsidRPr="003A3B9C" w:rsidR="0030417E">
        <w:rPr>
          <w:rFonts w:ascii="Arial Narrow" w:hAnsi="Arial Narrow"/>
          <w:sz w:val="24"/>
          <w:szCs w:val="24"/>
          <w:lang w:val="en-US"/>
        </w:rPr>
        <w:t>without</w:t>
      </w:r>
      <w:r w:rsidRPr="003A3B9C">
        <w:rPr>
          <w:rFonts w:ascii="Arial Narrow" w:hAnsi="Arial Narrow"/>
          <w:sz w:val="24"/>
          <w:szCs w:val="24"/>
          <w:lang w:val="en-US"/>
        </w:rPr>
        <w:t xml:space="preserve"> supervision. This practice led to the death of the couple's baby who died after being injected with an unknown drug by an unsupervised student nurse. CEHURD and others</w:t>
      </w:r>
      <w:r w:rsidRPr="003A3B9C" w:rsidR="0030417E">
        <w:rPr>
          <w:rFonts w:ascii="Arial Narrow" w:hAnsi="Arial Narrow"/>
          <w:sz w:val="24"/>
          <w:szCs w:val="24"/>
          <w:lang w:val="en-US"/>
        </w:rPr>
        <w:t xml:space="preserve"> </w:t>
      </w:r>
      <w:r w:rsidRPr="003A3B9C">
        <w:rPr>
          <w:rFonts w:ascii="Arial Narrow" w:hAnsi="Arial Narrow"/>
          <w:sz w:val="24"/>
          <w:szCs w:val="24"/>
          <w:lang w:val="en-US"/>
        </w:rPr>
        <w:t xml:space="preserve">sought redress for enforcement of rights including; </w:t>
      </w:r>
      <w:r w:rsidRPr="003A3B9C" w:rsidR="0030417E">
        <w:rPr>
          <w:rFonts w:ascii="Arial Narrow" w:hAnsi="Arial Narrow"/>
          <w:sz w:val="24"/>
          <w:szCs w:val="24"/>
          <w:lang w:val="en-US"/>
        </w:rPr>
        <w:t xml:space="preserve">the </w:t>
      </w:r>
      <w:r w:rsidRPr="003A3B9C">
        <w:rPr>
          <w:rFonts w:ascii="Arial Narrow" w:hAnsi="Arial Narrow"/>
          <w:sz w:val="24"/>
          <w:szCs w:val="24"/>
          <w:lang w:val="en-US"/>
        </w:rPr>
        <w:t>right to quality health care, right to life, freedom from cruel, inhuman</w:t>
      </w:r>
      <w:r w:rsidRPr="003A3B9C" w:rsidR="0030417E">
        <w:rPr>
          <w:rFonts w:ascii="Arial Narrow" w:hAnsi="Arial Narrow"/>
          <w:sz w:val="24"/>
          <w:szCs w:val="24"/>
          <w:lang w:val="en-US"/>
        </w:rPr>
        <w:t>,</w:t>
      </w:r>
      <w:r w:rsidRPr="003A3B9C">
        <w:rPr>
          <w:rFonts w:ascii="Arial Narrow" w:hAnsi="Arial Narrow"/>
          <w:sz w:val="24"/>
          <w:szCs w:val="24"/>
          <w:lang w:val="en-US"/>
        </w:rPr>
        <w:t xml:space="preserve"> and degrading treatment, right to access health information</w:t>
      </w:r>
      <w:r w:rsidRPr="003A3B9C" w:rsidR="0030417E">
        <w:rPr>
          <w:rFonts w:ascii="Arial Narrow" w:hAnsi="Arial Narrow"/>
          <w:sz w:val="24"/>
          <w:szCs w:val="24"/>
          <w:lang w:val="en-US"/>
        </w:rPr>
        <w:t>,</w:t>
      </w:r>
      <w:r w:rsidRPr="003A3B9C">
        <w:rPr>
          <w:rFonts w:ascii="Arial Narrow" w:hAnsi="Arial Narrow"/>
          <w:sz w:val="24"/>
          <w:szCs w:val="24"/>
          <w:lang w:val="en-US"/>
        </w:rPr>
        <w:t xml:space="preserve"> and general damages.  This matter was settled out of Court in 2018. The hospital compensated the family and it was directed to follow national internship guidelines while engaging medical interns/student nurses.</w:t>
      </w:r>
    </w:p>
    <w:p w:rsidR="009D1564" w:rsidRPr="00910346" w:rsidP="002361B9" w14:paraId="336DA425" w14:textId="252C1F5A">
      <w:pPr>
        <w:pStyle w:val="ListParagraph"/>
        <w:numPr>
          <w:ilvl w:val="0"/>
          <w:numId w:val="3"/>
        </w:numPr>
        <w:jc w:val="both"/>
        <w:rPr>
          <w:rFonts w:ascii="Arial Narrow" w:hAnsi="Arial Narrow"/>
          <w:b/>
          <w:sz w:val="24"/>
          <w:szCs w:val="24"/>
          <w:lang w:val="en-US"/>
        </w:rPr>
      </w:pPr>
      <w:r w:rsidRPr="00910346">
        <w:rPr>
          <w:rFonts w:ascii="Arial Narrow" w:hAnsi="Arial Narrow"/>
          <w:b/>
          <w:sz w:val="24"/>
          <w:szCs w:val="24"/>
          <w:lang w:val="en-US"/>
        </w:rPr>
        <w:t>Constitutional Petition No. 46 of 2016, BAT Vs. Attorney General and CEHURD</w:t>
      </w:r>
    </w:p>
    <w:p w:rsidR="00694101" w:rsidRPr="00910346" w:rsidP="00B05742" w14:paraId="41F62671" w14:textId="4F58A950">
      <w:pPr>
        <w:jc w:val="both"/>
        <w:rPr>
          <w:rFonts w:ascii="Arial Narrow" w:hAnsi="Arial Narrow"/>
          <w:sz w:val="24"/>
          <w:szCs w:val="24"/>
          <w:lang w:val="en-US"/>
        </w:rPr>
      </w:pPr>
      <w:r w:rsidRPr="00910346">
        <w:rPr>
          <w:rFonts w:ascii="Arial Narrow" w:hAnsi="Arial Narrow"/>
          <w:sz w:val="24"/>
          <w:szCs w:val="24"/>
          <w:lang w:val="en-US"/>
        </w:rPr>
        <w:t xml:space="preserve">CEHURD together with other tobacco control advocates contributed to </w:t>
      </w:r>
      <w:r w:rsidRPr="00910346" w:rsidR="00C50475">
        <w:rPr>
          <w:rFonts w:ascii="Arial Narrow" w:hAnsi="Arial Narrow"/>
          <w:sz w:val="24"/>
          <w:szCs w:val="24"/>
          <w:lang w:val="en-US"/>
        </w:rPr>
        <w:t xml:space="preserve">the </w:t>
      </w:r>
      <w:r w:rsidRPr="00910346">
        <w:rPr>
          <w:rFonts w:ascii="Arial Narrow" w:hAnsi="Arial Narrow"/>
          <w:sz w:val="24"/>
          <w:szCs w:val="24"/>
          <w:lang w:val="en-US"/>
        </w:rPr>
        <w:t>enactment of the Tobacco Control Act of 2015. This law was challenged by British American Tobacco and CEHURD was joined by the Constitutional Court as a respondent together with the Attorney General.</w:t>
      </w:r>
      <w:r w:rsidRPr="00910346" w:rsidR="00C80320">
        <w:rPr>
          <w:rFonts w:ascii="Arial Narrow" w:hAnsi="Arial Narrow"/>
          <w:sz w:val="24"/>
          <w:szCs w:val="24"/>
          <w:lang w:val="en-US"/>
        </w:rPr>
        <w:t xml:space="preserve"> </w:t>
      </w:r>
    </w:p>
    <w:p w:rsidR="00B05742" w:rsidRPr="00910346" w:rsidP="00B05742" w14:paraId="36B1F289" w14:textId="0FD279D1">
      <w:pPr>
        <w:jc w:val="both"/>
        <w:rPr>
          <w:rFonts w:ascii="Arial Narrow" w:hAnsi="Arial Narrow"/>
          <w:sz w:val="24"/>
          <w:szCs w:val="24"/>
          <w:lang w:val="en-US"/>
        </w:rPr>
      </w:pPr>
      <w:r w:rsidRPr="00910346">
        <w:rPr>
          <w:rFonts w:ascii="Arial Narrow" w:hAnsi="Arial Narrow"/>
          <w:sz w:val="24"/>
          <w:szCs w:val="24"/>
        </w:rPr>
        <w:t>The Court found that the Petition appeared to have been misconceived or brought in bad faith as part of a global strategy to fight tobacco control legislation. The challenged provisions upheld by the Court include provisions:</w:t>
      </w:r>
      <w:r w:rsidRPr="00910346">
        <w:rPr>
          <w:rFonts w:ascii="Arial Narrow" w:hAnsi="Arial Narrow"/>
          <w:sz w:val="24"/>
          <w:szCs w:val="24"/>
          <w:lang w:val="en-US"/>
        </w:rPr>
        <w:t xml:space="preserve"> </w:t>
      </w:r>
      <w:r w:rsidRPr="00B05742">
        <w:rPr>
          <w:rFonts w:ascii="Arial Narrow" w:hAnsi="Arial Narrow"/>
          <w:sz w:val="24"/>
          <w:szCs w:val="24"/>
        </w:rPr>
        <w:t>requiring 65% or larger picture health</w:t>
      </w:r>
      <w:r w:rsidRPr="00910346">
        <w:rPr>
          <w:rFonts w:ascii="Arial Narrow" w:hAnsi="Arial Narrow"/>
          <w:sz w:val="24"/>
          <w:szCs w:val="24"/>
          <w:lang w:val="en-US"/>
        </w:rPr>
        <w:t xml:space="preserve"> </w:t>
      </w:r>
      <w:r w:rsidRPr="00B05742">
        <w:rPr>
          <w:rFonts w:ascii="Arial Narrow" w:hAnsi="Arial Narrow"/>
          <w:sz w:val="24"/>
          <w:szCs w:val="24"/>
        </w:rPr>
        <w:t>warnings;</w:t>
      </w:r>
      <w:r w:rsidRPr="00910346">
        <w:rPr>
          <w:rFonts w:ascii="Arial Narrow" w:hAnsi="Arial Narrow"/>
          <w:sz w:val="24"/>
          <w:szCs w:val="24"/>
          <w:lang w:val="en-US"/>
        </w:rPr>
        <w:t xml:space="preserve"> </w:t>
      </w:r>
      <w:r w:rsidRPr="00B05742">
        <w:rPr>
          <w:rFonts w:ascii="Arial Narrow" w:hAnsi="Arial Narrow"/>
          <w:sz w:val="24"/>
          <w:szCs w:val="24"/>
        </w:rPr>
        <w:t>banning smoking in all indoor public places and workplaces, on all means of public transport,</w:t>
      </w:r>
      <w:r w:rsidRPr="00910346">
        <w:rPr>
          <w:rFonts w:ascii="Arial Narrow" w:hAnsi="Arial Narrow"/>
          <w:sz w:val="24"/>
          <w:szCs w:val="24"/>
          <w:lang w:val="en-US"/>
        </w:rPr>
        <w:t xml:space="preserve"> </w:t>
      </w:r>
      <w:r w:rsidRPr="00B05742">
        <w:rPr>
          <w:rFonts w:ascii="Arial Narrow" w:hAnsi="Arial Narrow"/>
          <w:sz w:val="24"/>
          <w:szCs w:val="24"/>
        </w:rPr>
        <w:t>and in specified outdoor public places;</w:t>
      </w:r>
      <w:r w:rsidRPr="00910346">
        <w:rPr>
          <w:rFonts w:ascii="Arial Narrow" w:hAnsi="Arial Narrow"/>
          <w:sz w:val="24"/>
          <w:szCs w:val="24"/>
          <w:lang w:val="en-US"/>
        </w:rPr>
        <w:t xml:space="preserve"> </w:t>
      </w:r>
      <w:r w:rsidRPr="00B05742">
        <w:rPr>
          <w:rFonts w:ascii="Arial Narrow" w:hAnsi="Arial Narrow"/>
          <w:sz w:val="24"/>
          <w:szCs w:val="24"/>
        </w:rPr>
        <w:t>banning all tobacco advertising, promotion, and sponsorship, including product displays at points of sale; prohibiting the sale of tobacco products in specified places (health institutions, schools, prisons, and other places);</w:t>
      </w:r>
      <w:r w:rsidRPr="00910346">
        <w:rPr>
          <w:rFonts w:ascii="Arial Narrow" w:hAnsi="Arial Narrow"/>
          <w:sz w:val="24"/>
          <w:szCs w:val="24"/>
          <w:lang w:val="en-US"/>
        </w:rPr>
        <w:t xml:space="preserve"> </w:t>
      </w:r>
      <w:r w:rsidRPr="00B05742">
        <w:rPr>
          <w:rFonts w:ascii="Arial Narrow" w:hAnsi="Arial Narrow"/>
          <w:sz w:val="24"/>
          <w:szCs w:val="24"/>
        </w:rPr>
        <w:t xml:space="preserve">prohibiting the import, manufacture, distribution, and sale of electronic nicotine delivery systems, and shisha, smokeless, and </w:t>
      </w:r>
      <w:r w:rsidRPr="00910346" w:rsidR="004154E7">
        <w:rPr>
          <w:rFonts w:ascii="Arial Narrow" w:hAnsi="Arial Narrow"/>
          <w:sz w:val="24"/>
          <w:szCs w:val="24"/>
        </w:rPr>
        <w:t>flavoured</w:t>
      </w:r>
      <w:r w:rsidRPr="00B05742">
        <w:rPr>
          <w:rFonts w:ascii="Arial Narrow" w:hAnsi="Arial Narrow"/>
          <w:sz w:val="24"/>
          <w:szCs w:val="24"/>
        </w:rPr>
        <w:t xml:space="preserve"> tobacco;</w:t>
      </w:r>
      <w:r w:rsidRPr="00910346">
        <w:rPr>
          <w:rFonts w:ascii="Arial Narrow" w:hAnsi="Arial Narrow"/>
          <w:sz w:val="24"/>
          <w:szCs w:val="24"/>
          <w:lang w:val="en-US"/>
        </w:rPr>
        <w:t xml:space="preserve"> </w:t>
      </w:r>
      <w:r w:rsidRPr="00B05742">
        <w:rPr>
          <w:rFonts w:ascii="Arial Narrow" w:hAnsi="Arial Narrow"/>
          <w:sz w:val="24"/>
          <w:szCs w:val="24"/>
        </w:rPr>
        <w:t>banning the sale of tobacco products through vending machines and remote means of sale</w:t>
      </w:r>
      <w:r w:rsidRPr="00910346" w:rsidR="00694101">
        <w:rPr>
          <w:rFonts w:ascii="Arial Narrow" w:hAnsi="Arial Narrow"/>
          <w:sz w:val="24"/>
          <w:szCs w:val="24"/>
          <w:lang w:val="en-US"/>
        </w:rPr>
        <w:t>.</w:t>
      </w:r>
    </w:p>
    <w:p w:rsidR="00796ED2" w:rsidRPr="00910346" w:rsidP="00796ED2" w14:paraId="7DA17E7B" w14:textId="20E45CC5">
      <w:pPr>
        <w:jc w:val="both"/>
        <w:rPr>
          <w:rFonts w:ascii="Arial Narrow" w:hAnsi="Arial Narrow"/>
          <w:sz w:val="24"/>
          <w:szCs w:val="24"/>
          <w:lang w:val="en-US"/>
        </w:rPr>
      </w:pPr>
      <w:r w:rsidRPr="00910346">
        <w:rPr>
          <w:rFonts w:ascii="Arial Narrow" w:hAnsi="Arial Narrow"/>
          <w:sz w:val="24"/>
          <w:szCs w:val="24"/>
          <w:lang w:val="en-US"/>
        </w:rPr>
        <w:t xml:space="preserve">In this case, CEHURD's main interest was to emphasize the public health impact of tobacco. </w:t>
      </w:r>
    </w:p>
    <w:p w:rsidR="00FB133B" w:rsidRPr="00910346" w:rsidP="002361B9" w14:paraId="0662E9F8" w14:textId="433620FB">
      <w:pPr>
        <w:pStyle w:val="ListParagraph"/>
        <w:numPr>
          <w:ilvl w:val="0"/>
          <w:numId w:val="3"/>
        </w:numPr>
        <w:jc w:val="both"/>
        <w:rPr>
          <w:rFonts w:ascii="Arial Narrow" w:hAnsi="Arial Narrow"/>
          <w:b/>
          <w:sz w:val="24"/>
          <w:szCs w:val="24"/>
          <w:lang w:val="en-US"/>
        </w:rPr>
      </w:pPr>
      <w:r w:rsidRPr="00910346">
        <w:rPr>
          <w:rFonts w:ascii="Arial Narrow" w:hAnsi="Arial Narrow"/>
          <w:b/>
          <w:sz w:val="24"/>
          <w:szCs w:val="24"/>
          <w:lang w:val="en-US"/>
        </w:rPr>
        <w:t>Constitutional Petition No. 10 of 2017, CEHURD and Others vs. Attorney General</w:t>
      </w:r>
    </w:p>
    <w:p w:rsidR="00FB133B" w:rsidRPr="00910346" w:rsidP="00B05742" w14:paraId="35B92E5E" w14:textId="73C7C449">
      <w:pPr>
        <w:jc w:val="both"/>
        <w:rPr>
          <w:rFonts w:ascii="Arial Narrow" w:hAnsi="Arial Narrow"/>
          <w:sz w:val="24"/>
          <w:szCs w:val="24"/>
          <w:lang w:val="en-US"/>
        </w:rPr>
      </w:pPr>
      <w:r w:rsidRPr="00910346">
        <w:rPr>
          <w:rFonts w:ascii="Arial Narrow" w:hAnsi="Arial Narrow"/>
          <w:sz w:val="24"/>
          <w:szCs w:val="24"/>
          <w:lang w:val="en-US"/>
        </w:rPr>
        <w:t xml:space="preserve">This petition challenges the failure of the Government to enact a law regulating termination of pregnancy as required by the Constitution. The petitioners seek </w:t>
      </w:r>
      <w:r w:rsidRPr="00910346" w:rsidR="00C75746">
        <w:rPr>
          <w:rFonts w:ascii="Arial Narrow" w:hAnsi="Arial Narrow"/>
          <w:sz w:val="24"/>
          <w:szCs w:val="24"/>
          <w:lang w:val="en-US"/>
        </w:rPr>
        <w:t xml:space="preserve">the </w:t>
      </w:r>
      <w:r w:rsidRPr="00910346">
        <w:rPr>
          <w:rFonts w:ascii="Arial Narrow" w:hAnsi="Arial Narrow"/>
          <w:sz w:val="24"/>
          <w:szCs w:val="24"/>
          <w:lang w:val="en-US"/>
        </w:rPr>
        <w:t>court to declare that failure to enact a law on termination of pregnancy contravenes the Constitution, order Parliament to make a law on termination of pregnancy within two years of judgment</w:t>
      </w:r>
      <w:r w:rsidRPr="00910346" w:rsidR="00506656">
        <w:rPr>
          <w:rFonts w:ascii="Arial Narrow" w:hAnsi="Arial Narrow"/>
          <w:sz w:val="24"/>
          <w:szCs w:val="24"/>
          <w:lang w:val="en-US"/>
        </w:rPr>
        <w:t>,</w:t>
      </w:r>
      <w:r w:rsidRPr="00910346">
        <w:rPr>
          <w:rFonts w:ascii="Arial Narrow" w:hAnsi="Arial Narrow"/>
          <w:sz w:val="24"/>
          <w:szCs w:val="24"/>
          <w:lang w:val="en-US"/>
        </w:rPr>
        <w:t xml:space="preserve"> and report every six months on the steps taken to implement the order.  The Attorney General filed a reply to the petition.</w:t>
      </w:r>
      <w:r w:rsidRPr="00910346" w:rsidR="008575FE">
        <w:rPr>
          <w:rFonts w:ascii="Arial Narrow" w:hAnsi="Arial Narrow"/>
          <w:sz w:val="24"/>
          <w:szCs w:val="24"/>
          <w:lang w:val="en-US"/>
        </w:rPr>
        <w:t xml:space="preserve"> The case has been heard and is now awaiting judgement</w:t>
      </w:r>
      <w:r w:rsidRPr="00910346" w:rsidR="00796ED2">
        <w:rPr>
          <w:rFonts w:ascii="Arial Narrow" w:hAnsi="Arial Narrow"/>
          <w:sz w:val="24"/>
          <w:szCs w:val="24"/>
          <w:lang w:val="en-US"/>
        </w:rPr>
        <w:t>.</w:t>
      </w:r>
    </w:p>
    <w:p w:rsidR="00FB133B" w:rsidRPr="00910346" w:rsidP="002361B9" w14:paraId="285EEA65" w14:textId="42DD212B">
      <w:pPr>
        <w:pStyle w:val="ListParagraph"/>
        <w:numPr>
          <w:ilvl w:val="0"/>
          <w:numId w:val="3"/>
        </w:numPr>
        <w:jc w:val="both"/>
        <w:rPr>
          <w:rFonts w:ascii="Arial Narrow" w:hAnsi="Arial Narrow"/>
          <w:b/>
          <w:sz w:val="24"/>
          <w:szCs w:val="24"/>
          <w:lang w:val="fi-FI"/>
        </w:rPr>
      </w:pPr>
      <w:r w:rsidRPr="003A3B9C">
        <w:rPr>
          <w:rFonts w:ascii="Arial Narrow" w:hAnsi="Arial Narrow"/>
          <w:b/>
          <w:sz w:val="24"/>
          <w:szCs w:val="24"/>
          <w:lang w:val="en-US"/>
        </w:rPr>
        <w:t xml:space="preserve">Constitutional Petition No. 29 of 2018, CEHURD and 2 Others Vs. </w:t>
      </w:r>
      <w:r w:rsidRPr="00910346">
        <w:rPr>
          <w:rFonts w:ascii="Arial Narrow" w:hAnsi="Arial Narrow"/>
          <w:b/>
          <w:sz w:val="24"/>
          <w:szCs w:val="24"/>
          <w:lang w:val="fi-FI"/>
        </w:rPr>
        <w:t>Attorney General</w:t>
      </w:r>
    </w:p>
    <w:p w:rsidR="00FB133B" w:rsidRPr="00910346" w:rsidP="00B05742" w14:paraId="7C0A27D4" w14:textId="721E919C">
      <w:pPr>
        <w:jc w:val="both"/>
        <w:rPr>
          <w:rFonts w:ascii="Arial Narrow" w:hAnsi="Arial Narrow"/>
          <w:sz w:val="24"/>
          <w:szCs w:val="24"/>
          <w:lang w:val="en-GB"/>
        </w:rPr>
      </w:pPr>
      <w:r w:rsidRPr="00910346">
        <w:rPr>
          <w:rFonts w:ascii="Arial Narrow" w:hAnsi="Arial Narrow"/>
          <w:sz w:val="24"/>
          <w:szCs w:val="24"/>
          <w:lang w:val="en-GB"/>
        </w:rPr>
        <w:t xml:space="preserve">According to Uganda Police </w:t>
      </w:r>
      <w:r w:rsidRPr="00910346" w:rsidR="00796ED2">
        <w:rPr>
          <w:rFonts w:ascii="Arial Narrow" w:hAnsi="Arial Narrow"/>
          <w:sz w:val="24"/>
          <w:szCs w:val="24"/>
          <w:lang w:val="en-GB"/>
        </w:rPr>
        <w:t>Crime</w:t>
      </w:r>
      <w:r w:rsidRPr="00910346">
        <w:rPr>
          <w:rFonts w:ascii="Arial Narrow" w:hAnsi="Arial Narrow"/>
          <w:sz w:val="24"/>
          <w:szCs w:val="24"/>
          <w:lang w:val="en-GB"/>
        </w:rPr>
        <w:t xml:space="preserve"> reports, defilement and rape are the leading crimes in Uganda. However, there is no existing public shelter where survivors of sexual violence can seek refuge, </w:t>
      </w:r>
      <w:r w:rsidRPr="00910346" w:rsidR="005A1F7E">
        <w:rPr>
          <w:rFonts w:ascii="Arial Narrow" w:hAnsi="Arial Narrow"/>
          <w:sz w:val="24"/>
          <w:szCs w:val="24"/>
          <w:lang w:val="en-GB"/>
        </w:rPr>
        <w:t>counselling,</w:t>
      </w:r>
      <w:r w:rsidRPr="00910346">
        <w:rPr>
          <w:rFonts w:ascii="Arial Narrow" w:hAnsi="Arial Narrow"/>
          <w:sz w:val="24"/>
          <w:szCs w:val="24"/>
          <w:lang w:val="en-GB"/>
        </w:rPr>
        <w:t xml:space="preserve"> and rehabilitation services. This petition was therefore filed to challenge the failure of </w:t>
      </w:r>
      <w:r w:rsidRPr="00910346" w:rsidR="005A1F7E">
        <w:rPr>
          <w:rFonts w:ascii="Arial Narrow" w:hAnsi="Arial Narrow"/>
          <w:sz w:val="24"/>
          <w:szCs w:val="24"/>
          <w:lang w:val="en-GB"/>
        </w:rPr>
        <w:t xml:space="preserve">the </w:t>
      </w:r>
      <w:r w:rsidRPr="00910346">
        <w:rPr>
          <w:rFonts w:ascii="Arial Narrow" w:hAnsi="Arial Narrow"/>
          <w:sz w:val="24"/>
          <w:szCs w:val="24"/>
          <w:lang w:val="en-GB"/>
        </w:rPr>
        <w:t xml:space="preserve">government to establish shelters where survivors of sexual violence can receive psychosocial support after suffering trauma and other complications. This matter also challenges discriminative penalties </w:t>
      </w:r>
      <w:r w:rsidRPr="00910346" w:rsidR="005A1F7E">
        <w:rPr>
          <w:rFonts w:ascii="Arial Narrow" w:hAnsi="Arial Narrow"/>
          <w:sz w:val="24"/>
          <w:szCs w:val="24"/>
          <w:lang w:val="en-GB"/>
        </w:rPr>
        <w:t>for</w:t>
      </w:r>
      <w:r w:rsidRPr="00910346">
        <w:rPr>
          <w:rFonts w:ascii="Arial Narrow" w:hAnsi="Arial Narrow"/>
          <w:sz w:val="24"/>
          <w:szCs w:val="24"/>
          <w:lang w:val="en-GB"/>
        </w:rPr>
        <w:t xml:space="preserve"> forceful and unauthorized carnal knowledge categorized as rape, defilement, and aggravated defilement. The case is pending a ruling.</w:t>
      </w:r>
    </w:p>
    <w:p w:rsidR="005A1F7E" w:rsidRPr="00910346" w:rsidP="00B05742" w14:paraId="3DD39E71" w14:textId="7A4FE194">
      <w:pPr>
        <w:jc w:val="both"/>
        <w:rPr>
          <w:rFonts w:ascii="Arial Narrow" w:hAnsi="Arial Narrow"/>
          <w:sz w:val="24"/>
          <w:szCs w:val="24"/>
          <w:lang w:val="en-US"/>
        </w:rPr>
      </w:pPr>
      <w:r w:rsidRPr="00910346">
        <w:rPr>
          <w:rFonts w:ascii="Arial Narrow" w:hAnsi="Arial Narrow"/>
          <w:sz w:val="24"/>
          <w:szCs w:val="24"/>
          <w:lang w:val="en-GB"/>
        </w:rPr>
        <w:t>During the litigation of the case, CEHURD file</w:t>
      </w:r>
      <w:r w:rsidRPr="00910346" w:rsidR="0010730C">
        <w:rPr>
          <w:rFonts w:ascii="Arial Narrow" w:hAnsi="Arial Narrow"/>
          <w:sz w:val="24"/>
          <w:szCs w:val="24"/>
          <w:lang w:val="en-GB"/>
        </w:rPr>
        <w:t xml:space="preserve">d </w:t>
      </w:r>
      <w:r w:rsidRPr="00910346" w:rsidR="0010730C">
        <w:rPr>
          <w:rFonts w:ascii="Arial Narrow" w:hAnsi="Arial Narrow"/>
          <w:b/>
          <w:bCs/>
          <w:sz w:val="24"/>
          <w:szCs w:val="24"/>
          <w:lang w:val="en-GB"/>
        </w:rPr>
        <w:t>Constitutional Application No.26 of 2018</w:t>
      </w:r>
      <w:r w:rsidRPr="00910346" w:rsidR="0010730C">
        <w:rPr>
          <w:rFonts w:ascii="Arial Narrow" w:hAnsi="Arial Narrow"/>
          <w:sz w:val="24"/>
          <w:szCs w:val="24"/>
          <w:lang w:val="en-GB"/>
        </w:rPr>
        <w:t xml:space="preserve"> seeking</w:t>
      </w:r>
      <w:r w:rsidRPr="00910346" w:rsidR="0010730C">
        <w:rPr>
          <w:rFonts w:ascii="Arial Narrow" w:hAnsi="Arial Narrow"/>
          <w:sz w:val="24"/>
          <w:szCs w:val="24"/>
        </w:rPr>
        <w:t xml:space="preserve"> an order from </w:t>
      </w:r>
      <w:r w:rsidRPr="00910346" w:rsidR="004A2FFA">
        <w:rPr>
          <w:rFonts w:ascii="Arial Narrow" w:hAnsi="Arial Narrow"/>
          <w:sz w:val="24"/>
          <w:szCs w:val="24"/>
        </w:rPr>
        <w:t xml:space="preserve">the </w:t>
      </w:r>
      <w:r w:rsidRPr="00910346" w:rsidR="0010730C">
        <w:rPr>
          <w:rFonts w:ascii="Arial Narrow" w:hAnsi="Arial Narrow"/>
          <w:sz w:val="24"/>
          <w:szCs w:val="24"/>
        </w:rPr>
        <w:t>Court to redact the identity of the deponents to affidavits sharing experiences of sexual violence by using initials of their names instead of the full names for purposes of the SGBV Petition.</w:t>
      </w:r>
      <w:r w:rsidRPr="00910346" w:rsidR="004A2FFA">
        <w:rPr>
          <w:rFonts w:ascii="Arial Narrow" w:hAnsi="Arial Narrow"/>
          <w:sz w:val="24"/>
          <w:szCs w:val="24"/>
          <w:lang w:val="en-US"/>
        </w:rPr>
        <w:t xml:space="preserve"> This application was granted.</w:t>
      </w:r>
      <w:r w:rsidRPr="00910346" w:rsidR="0010730C">
        <w:rPr>
          <w:rFonts w:ascii="Arial Narrow" w:hAnsi="Arial Narrow"/>
          <w:sz w:val="24"/>
          <w:szCs w:val="24"/>
        </w:rPr>
        <w:t xml:space="preserve"> </w:t>
      </w:r>
      <w:r w:rsidRPr="00910346" w:rsidR="006933AE">
        <w:rPr>
          <w:rFonts w:ascii="Arial Narrow" w:hAnsi="Arial Narrow"/>
          <w:sz w:val="24"/>
          <w:szCs w:val="24"/>
          <w:lang w:val="en-US"/>
        </w:rPr>
        <w:t xml:space="preserve">In effect, this application has set a useful precedent to </w:t>
      </w:r>
      <w:r w:rsidRPr="00910346" w:rsidR="0010730C">
        <w:rPr>
          <w:rFonts w:ascii="Arial Narrow" w:hAnsi="Arial Narrow"/>
          <w:sz w:val="24"/>
          <w:szCs w:val="24"/>
        </w:rPr>
        <w:t xml:space="preserve">protect the survivors of sexual violence from </w:t>
      </w:r>
      <w:r w:rsidRPr="00910346" w:rsidR="004A2FFA">
        <w:rPr>
          <w:rFonts w:ascii="Arial Narrow" w:hAnsi="Arial Narrow"/>
          <w:sz w:val="24"/>
          <w:szCs w:val="24"/>
        </w:rPr>
        <w:t xml:space="preserve">the </w:t>
      </w:r>
      <w:r w:rsidRPr="00910346" w:rsidR="0010730C">
        <w:rPr>
          <w:rFonts w:ascii="Arial Narrow" w:hAnsi="Arial Narrow"/>
          <w:sz w:val="24"/>
          <w:szCs w:val="24"/>
        </w:rPr>
        <w:t>stigma associated with sexual violence</w:t>
      </w:r>
      <w:r w:rsidRPr="00910346" w:rsidR="006933AE">
        <w:rPr>
          <w:rFonts w:ascii="Arial Narrow" w:hAnsi="Arial Narrow"/>
          <w:sz w:val="24"/>
          <w:szCs w:val="24"/>
          <w:lang w:val="en-US"/>
        </w:rPr>
        <w:t>.</w:t>
      </w:r>
    </w:p>
    <w:p w:rsidR="00FB133B" w:rsidRPr="00910346" w:rsidP="002361B9" w14:paraId="0493376B" w14:textId="68512B8A">
      <w:pPr>
        <w:pStyle w:val="ListParagraph"/>
        <w:numPr>
          <w:ilvl w:val="0"/>
          <w:numId w:val="3"/>
        </w:numPr>
        <w:jc w:val="both"/>
        <w:rPr>
          <w:rFonts w:ascii="Arial Narrow" w:hAnsi="Arial Narrow"/>
          <w:b/>
          <w:sz w:val="24"/>
          <w:szCs w:val="24"/>
          <w:lang w:val="en-US"/>
        </w:rPr>
      </w:pPr>
      <w:r w:rsidRPr="00910346">
        <w:rPr>
          <w:rFonts w:ascii="Arial Narrow" w:hAnsi="Arial Narrow"/>
          <w:b/>
          <w:sz w:val="24"/>
          <w:szCs w:val="24"/>
          <w:lang w:val="en-US"/>
        </w:rPr>
        <w:t>Civil Appeal No. 155 of 2016, CEHURD and Another vs. Attorney General (arising out of Civil Suit No. 94 of 2015)</w:t>
      </w:r>
    </w:p>
    <w:p w:rsidR="00FB133B" w:rsidRPr="00910346" w:rsidP="00B05742" w14:paraId="2A482AA0" w14:textId="162CDCAF">
      <w:pPr>
        <w:jc w:val="both"/>
        <w:rPr>
          <w:rFonts w:ascii="Arial Narrow" w:hAnsi="Arial Narrow"/>
          <w:sz w:val="24"/>
          <w:szCs w:val="24"/>
          <w:lang w:val="en-GB"/>
        </w:rPr>
      </w:pPr>
      <w:r>
        <w:rPr>
          <w:rFonts w:ascii="Arial Narrow" w:hAnsi="Arial Narrow"/>
          <w:sz w:val="24"/>
          <w:szCs w:val="24"/>
          <w:lang w:val="en-GB"/>
        </w:rPr>
        <w:t xml:space="preserve">This case </w:t>
      </w:r>
      <w:r w:rsidRPr="00910346">
        <w:rPr>
          <w:rFonts w:ascii="Arial Narrow" w:hAnsi="Arial Narrow"/>
          <w:sz w:val="24"/>
          <w:szCs w:val="24"/>
          <w:lang w:val="en-GB"/>
        </w:rPr>
        <w:t>challenge</w:t>
      </w:r>
      <w:r>
        <w:rPr>
          <w:rFonts w:ascii="Arial Narrow" w:hAnsi="Arial Narrow"/>
          <w:sz w:val="24"/>
          <w:szCs w:val="24"/>
          <w:lang w:val="en-GB"/>
        </w:rPr>
        <w:t>d</w:t>
      </w:r>
      <w:r w:rsidRPr="00910346">
        <w:rPr>
          <w:rFonts w:ascii="Arial Narrow" w:hAnsi="Arial Narrow"/>
          <w:sz w:val="24"/>
          <w:szCs w:val="24"/>
          <w:lang w:val="en-GB"/>
        </w:rPr>
        <w:t xml:space="preserve"> the practice of seclusion of patients with mental illness at </w:t>
      </w:r>
      <w:r w:rsidRPr="00910346">
        <w:rPr>
          <w:rFonts w:ascii="Arial Narrow" w:hAnsi="Arial Narrow"/>
          <w:sz w:val="24"/>
          <w:szCs w:val="24"/>
          <w:lang w:val="en-GB"/>
        </w:rPr>
        <w:t>Butabika</w:t>
      </w:r>
      <w:r w:rsidRPr="00910346">
        <w:rPr>
          <w:rFonts w:ascii="Arial Narrow" w:hAnsi="Arial Narrow"/>
          <w:sz w:val="24"/>
          <w:szCs w:val="24"/>
          <w:lang w:val="en-GB"/>
        </w:rPr>
        <w:t xml:space="preserve"> National Mental Referral Hospital. </w:t>
      </w:r>
      <w:r>
        <w:rPr>
          <w:rFonts w:ascii="Arial Narrow" w:hAnsi="Arial Narrow"/>
          <w:sz w:val="24"/>
          <w:szCs w:val="24"/>
          <w:lang w:val="en-GB"/>
        </w:rPr>
        <w:t>Applicants</w:t>
      </w:r>
      <w:r w:rsidRPr="00910346">
        <w:rPr>
          <w:rFonts w:ascii="Arial Narrow" w:hAnsi="Arial Narrow"/>
          <w:sz w:val="24"/>
          <w:szCs w:val="24"/>
          <w:lang w:val="en-GB"/>
        </w:rPr>
        <w:t xml:space="preserve"> sought redress for violation of the right to health, freedom from torture, cruel, inhuman</w:t>
      </w:r>
      <w:r w:rsidRPr="00910346" w:rsidR="008C0615">
        <w:rPr>
          <w:rFonts w:ascii="Arial Narrow" w:hAnsi="Arial Narrow"/>
          <w:sz w:val="24"/>
          <w:szCs w:val="24"/>
          <w:lang w:val="en-GB"/>
        </w:rPr>
        <w:t>,</w:t>
      </w:r>
      <w:r w:rsidRPr="00910346">
        <w:rPr>
          <w:rFonts w:ascii="Arial Narrow" w:hAnsi="Arial Narrow"/>
          <w:sz w:val="24"/>
          <w:szCs w:val="24"/>
          <w:lang w:val="en-GB"/>
        </w:rPr>
        <w:t xml:space="preserve"> and degrading treatment, right to liberty</w:t>
      </w:r>
      <w:r w:rsidRPr="00910346" w:rsidR="008C0615">
        <w:rPr>
          <w:rFonts w:ascii="Arial Narrow" w:hAnsi="Arial Narrow"/>
          <w:sz w:val="24"/>
          <w:szCs w:val="24"/>
          <w:lang w:val="en-GB"/>
        </w:rPr>
        <w:t>,</w:t>
      </w:r>
      <w:r w:rsidRPr="00910346">
        <w:rPr>
          <w:rFonts w:ascii="Arial Narrow" w:hAnsi="Arial Narrow"/>
          <w:sz w:val="24"/>
          <w:szCs w:val="24"/>
          <w:lang w:val="en-GB"/>
        </w:rPr>
        <w:t xml:space="preserve"> and right to a clean and healthy environment. The Court determined the matter in favour of </w:t>
      </w:r>
      <w:r w:rsidRPr="00910346" w:rsidR="008C0615">
        <w:rPr>
          <w:rFonts w:ascii="Arial Narrow" w:hAnsi="Arial Narrow"/>
          <w:sz w:val="24"/>
          <w:szCs w:val="24"/>
          <w:lang w:val="en-GB"/>
        </w:rPr>
        <w:t xml:space="preserve">the </w:t>
      </w:r>
      <w:r w:rsidRPr="00910346">
        <w:rPr>
          <w:rFonts w:ascii="Arial Narrow" w:hAnsi="Arial Narrow"/>
          <w:sz w:val="24"/>
          <w:szCs w:val="24"/>
          <w:lang w:val="en-GB"/>
        </w:rPr>
        <w:t>Government and found that there is no violation of human rights when seclusion rooms are used to treat persons with mental disabilities. The case is on appeal.</w:t>
      </w:r>
    </w:p>
    <w:p w:rsidR="00FB133B" w:rsidRPr="00910346" w:rsidP="002361B9" w14:paraId="2B0BC8A2" w14:textId="5DDAA526">
      <w:pPr>
        <w:pStyle w:val="ListParagraph"/>
        <w:numPr>
          <w:ilvl w:val="0"/>
          <w:numId w:val="3"/>
        </w:numPr>
        <w:jc w:val="both"/>
        <w:rPr>
          <w:rFonts w:ascii="Arial Narrow" w:hAnsi="Arial Narrow"/>
          <w:b/>
          <w:sz w:val="24"/>
          <w:szCs w:val="24"/>
          <w:lang w:val="en-US"/>
        </w:rPr>
      </w:pPr>
      <w:r w:rsidRPr="00910346">
        <w:rPr>
          <w:rFonts w:ascii="Arial Narrow" w:hAnsi="Arial Narrow"/>
          <w:b/>
          <w:sz w:val="24"/>
          <w:szCs w:val="24"/>
          <w:lang w:val="en-US"/>
        </w:rPr>
        <w:t>CEHURD vs. Attorney General and Family Life Network, High Court Miscellaneous Cause No. 309 of 2016</w:t>
      </w:r>
    </w:p>
    <w:p w:rsidR="00FB133B" w:rsidRPr="00910346" w:rsidP="00B05742" w14:paraId="7E1CC803" w14:textId="4A821290">
      <w:pPr>
        <w:jc w:val="both"/>
        <w:rPr>
          <w:rFonts w:ascii="Arial Narrow" w:hAnsi="Arial Narrow"/>
          <w:sz w:val="24"/>
          <w:szCs w:val="24"/>
          <w:lang w:val="en-US"/>
        </w:rPr>
      </w:pPr>
      <w:r w:rsidRPr="00FB133B">
        <w:rPr>
          <w:rFonts w:ascii="Arial Narrow" w:hAnsi="Arial Narrow"/>
          <w:sz w:val="24"/>
          <w:szCs w:val="24"/>
          <w:lang w:val="en-US"/>
        </w:rPr>
        <w:t xml:space="preserve">This matter was filed to challenge the ban </w:t>
      </w:r>
      <w:r w:rsidRPr="00910346" w:rsidR="005443B3">
        <w:rPr>
          <w:rFonts w:ascii="Arial Narrow" w:hAnsi="Arial Narrow"/>
          <w:sz w:val="24"/>
          <w:szCs w:val="24"/>
          <w:lang w:val="en-US"/>
        </w:rPr>
        <w:t>on</w:t>
      </w:r>
      <w:r w:rsidRPr="00FB133B">
        <w:rPr>
          <w:rFonts w:ascii="Arial Narrow" w:hAnsi="Arial Narrow"/>
          <w:sz w:val="24"/>
          <w:szCs w:val="24"/>
          <w:lang w:val="en-US"/>
        </w:rPr>
        <w:t xml:space="preserve"> comprehensive sexuality education in schools by the Parliament of Uganda and the inordinate delay and omission by the Ministry of Education and Sports in issuing a policy on sexuality education</w:t>
      </w:r>
      <w:r w:rsidRPr="00910346">
        <w:rPr>
          <w:rFonts w:ascii="Arial Narrow" w:hAnsi="Arial Narrow"/>
          <w:sz w:val="24"/>
          <w:szCs w:val="24"/>
          <w:lang w:val="en-US"/>
        </w:rPr>
        <w:t>.</w:t>
      </w:r>
    </w:p>
    <w:p w:rsidR="002361B9" w:rsidP="00B05742" w14:paraId="1B978435" w14:textId="26BA0C99">
      <w:pPr>
        <w:jc w:val="both"/>
        <w:rPr>
          <w:rFonts w:ascii="Arial Narrow" w:hAnsi="Arial Narrow"/>
          <w:sz w:val="24"/>
          <w:szCs w:val="24"/>
          <w:lang w:val="en-US"/>
        </w:rPr>
      </w:pPr>
      <w:r w:rsidRPr="00910346">
        <w:rPr>
          <w:rFonts w:ascii="Arial Narrow" w:hAnsi="Arial Narrow"/>
          <w:sz w:val="24"/>
          <w:szCs w:val="24"/>
          <w:lang w:val="en-US"/>
        </w:rPr>
        <w:t>The High Court recognized the obligation of the government to provide sexuality education to promote the well-being of adolescents and to specify key features of that education in accordance with the 1994 Programme of Action of the International Conference on Population and Development (ICPD). Sexuality education is crucial for gender relations and equality, violence against adolescents, responsible sexual behavior, contraception, family life, STIs, HIV and AIDS prevention</w:t>
      </w:r>
      <w:r>
        <w:rPr>
          <w:rStyle w:val="FootnoteReference"/>
          <w:rFonts w:ascii="Arial Narrow" w:hAnsi="Arial Narrow"/>
          <w:sz w:val="24"/>
          <w:szCs w:val="24"/>
          <w:lang w:val="en-US"/>
        </w:rPr>
        <w:footnoteReference w:id="18"/>
      </w:r>
      <w:r w:rsidRPr="00910346">
        <w:rPr>
          <w:rFonts w:ascii="Arial Narrow" w:hAnsi="Arial Narrow"/>
          <w:sz w:val="24"/>
          <w:szCs w:val="24"/>
          <w:lang w:val="en-US"/>
        </w:rPr>
        <w:t>.</w:t>
      </w:r>
      <w:r w:rsidR="0062247F">
        <w:rPr>
          <w:rFonts w:ascii="Arial Narrow" w:hAnsi="Arial Narrow"/>
          <w:sz w:val="24"/>
          <w:szCs w:val="24"/>
          <w:lang w:val="en-US"/>
        </w:rPr>
        <w:t xml:space="preserve"> </w:t>
      </w:r>
    </w:p>
    <w:p w:rsidR="002D59E4" w:rsidRPr="002D59E4" w:rsidP="002D59E4" w14:paraId="54241BF2" w14:textId="79C015A0">
      <w:pPr>
        <w:pStyle w:val="ListParagraph"/>
        <w:numPr>
          <w:ilvl w:val="0"/>
          <w:numId w:val="3"/>
        </w:numPr>
        <w:jc w:val="both"/>
        <w:rPr>
          <w:rFonts w:ascii="Arial Narrow" w:hAnsi="Arial Narrow"/>
          <w:sz w:val="24"/>
          <w:szCs w:val="24"/>
        </w:rPr>
      </w:pPr>
      <w:r w:rsidRPr="002D59E4">
        <w:rPr>
          <w:rFonts w:ascii="Arial Narrow" w:hAnsi="Arial Narrow"/>
          <w:b/>
          <w:bCs/>
          <w:sz w:val="24"/>
          <w:szCs w:val="24"/>
        </w:rPr>
        <w:t xml:space="preserve">Rosemary Namubiru v. </w:t>
      </w:r>
      <w:r w:rsidRPr="00EA3733">
        <w:rPr>
          <w:rFonts w:ascii="Arial Narrow" w:hAnsi="Arial Narrow"/>
          <w:b/>
          <w:bCs/>
          <w:sz w:val="24"/>
          <w:szCs w:val="24"/>
        </w:rPr>
        <w:t>Uganda</w:t>
      </w:r>
      <w:r w:rsidRPr="00EA3733">
        <w:rPr>
          <w:rFonts w:ascii="Arial Narrow" w:hAnsi="Arial Narrow"/>
          <w:b/>
          <w:bCs/>
          <w:sz w:val="24"/>
          <w:szCs w:val="24"/>
          <w:lang w:val="en-US"/>
        </w:rPr>
        <w:t xml:space="preserve"> </w:t>
      </w:r>
      <w:r w:rsidRPr="00EA3733">
        <w:rPr>
          <w:rFonts w:ascii="Arial Narrow" w:hAnsi="Arial Narrow"/>
          <w:b/>
          <w:bCs/>
          <w:sz w:val="24"/>
          <w:szCs w:val="24"/>
        </w:rPr>
        <w:t>HC Crim. Review No 50/2014</w:t>
      </w:r>
    </w:p>
    <w:p w:rsidR="002D59E4" w:rsidRPr="00362C40" w:rsidP="00B05742" w14:paraId="4B799FEE" w14:textId="45563B89">
      <w:pPr>
        <w:jc w:val="both"/>
        <w:rPr>
          <w:rFonts w:ascii="Arial Narrow" w:hAnsi="Arial Narrow"/>
          <w:sz w:val="24"/>
          <w:szCs w:val="24"/>
          <w:lang w:val="en-US"/>
        </w:rPr>
      </w:pPr>
      <w:r w:rsidRPr="002D59E4">
        <w:rPr>
          <w:rFonts w:ascii="Arial Narrow" w:hAnsi="Arial Narrow"/>
          <w:sz w:val="24"/>
          <w:szCs w:val="24"/>
        </w:rPr>
        <w:t xml:space="preserve">The accused, an HIV+ nurse, was charged with negligently injecting a toddler with a cannula contaminated with her blood knowing or having reason to believe that this could likely cause the spread of HIV infection. The High Court upheld the conviction for the offence by a </w:t>
      </w:r>
      <w:r w:rsidR="00362C40">
        <w:rPr>
          <w:rFonts w:ascii="Arial Narrow" w:hAnsi="Arial Narrow"/>
          <w:sz w:val="24"/>
          <w:szCs w:val="24"/>
          <w:lang w:val="en-US"/>
        </w:rPr>
        <w:t xml:space="preserve">trial </w:t>
      </w:r>
      <w:r w:rsidRPr="00362C40" w:rsidR="00362C40">
        <w:rPr>
          <w:rFonts w:ascii="Arial Narrow" w:hAnsi="Arial Narrow"/>
          <w:sz w:val="24"/>
          <w:szCs w:val="24"/>
        </w:rPr>
        <w:t>magistrate court but in light of mitigating factors sentenced her to the period of imprisonment served</w:t>
      </w:r>
    </w:p>
    <w:p w:rsidR="00362C40" w:rsidRPr="00362C40" w:rsidP="00B05742" w14:paraId="44D93CC5" w14:textId="6DA5092F">
      <w:pPr>
        <w:jc w:val="both"/>
        <w:rPr>
          <w:rFonts w:ascii="Arial Narrow" w:hAnsi="Arial Narrow"/>
          <w:sz w:val="24"/>
          <w:szCs w:val="24"/>
          <w:lang w:val="en-US"/>
        </w:rPr>
      </w:pPr>
      <w:r>
        <w:rPr>
          <w:rFonts w:ascii="Arial Narrow" w:hAnsi="Arial Narrow"/>
          <w:sz w:val="24"/>
          <w:szCs w:val="24"/>
          <w:lang w:val="en-US"/>
        </w:rPr>
        <w:t>The decision signifies that the transmission of</w:t>
      </w:r>
      <w:r w:rsidRPr="00362C40">
        <w:rPr>
          <w:rFonts w:ascii="Arial Narrow" w:hAnsi="Arial Narrow"/>
          <w:sz w:val="24"/>
          <w:szCs w:val="24"/>
        </w:rPr>
        <w:t xml:space="preserve"> HIV is a public health concern, and this case revolves around exposure to HIV due to an act of professional negligence. </w:t>
      </w:r>
      <w:r>
        <w:rPr>
          <w:rFonts w:ascii="Arial Narrow" w:hAnsi="Arial Narrow"/>
          <w:sz w:val="24"/>
          <w:szCs w:val="24"/>
          <w:lang w:val="en-US"/>
        </w:rPr>
        <w:t>It demonstrates that</w:t>
      </w:r>
      <w:r w:rsidRPr="00362C40">
        <w:rPr>
          <w:rFonts w:ascii="Arial Narrow" w:hAnsi="Arial Narrow"/>
          <w:sz w:val="24"/>
          <w:szCs w:val="24"/>
        </w:rPr>
        <w:t xml:space="preserve"> the law</w:t>
      </w:r>
      <w:r>
        <w:rPr>
          <w:rFonts w:ascii="Arial Narrow" w:hAnsi="Arial Narrow"/>
          <w:sz w:val="24"/>
          <w:szCs w:val="24"/>
          <w:lang w:val="en-US"/>
        </w:rPr>
        <w:t xml:space="preserve"> can be used to </w:t>
      </w:r>
      <w:r w:rsidRPr="00362C40">
        <w:rPr>
          <w:rFonts w:ascii="Arial Narrow" w:hAnsi="Arial Narrow"/>
          <w:sz w:val="24"/>
          <w:szCs w:val="24"/>
        </w:rPr>
        <w:t xml:space="preserve">protect the public from the risk of transmission or exposure to HIV by </w:t>
      </w:r>
      <w:r>
        <w:rPr>
          <w:rFonts w:ascii="Arial Narrow" w:hAnsi="Arial Narrow"/>
          <w:sz w:val="24"/>
          <w:szCs w:val="24"/>
        </w:rPr>
        <w:t>criminalizing</w:t>
      </w:r>
      <w:r w:rsidRPr="00362C40">
        <w:rPr>
          <w:rFonts w:ascii="Arial Narrow" w:hAnsi="Arial Narrow"/>
          <w:sz w:val="24"/>
          <w:szCs w:val="24"/>
        </w:rPr>
        <w:t xml:space="preserve"> acts and behaviour that expose others to HIV. </w:t>
      </w:r>
      <w:r>
        <w:rPr>
          <w:rFonts w:ascii="Arial Narrow" w:hAnsi="Arial Narrow"/>
          <w:sz w:val="24"/>
          <w:szCs w:val="24"/>
          <w:lang w:val="en-US"/>
        </w:rPr>
        <w:t>However, the</w:t>
      </w:r>
      <w:r w:rsidRPr="00362C40">
        <w:rPr>
          <w:rFonts w:ascii="Arial Narrow" w:hAnsi="Arial Narrow"/>
          <w:sz w:val="24"/>
          <w:szCs w:val="24"/>
        </w:rPr>
        <w:t xml:space="preserve"> criminal provisions are </w:t>
      </w:r>
      <w:r>
        <w:rPr>
          <w:rFonts w:ascii="Arial Narrow" w:hAnsi="Arial Narrow"/>
          <w:sz w:val="24"/>
          <w:szCs w:val="24"/>
          <w:lang w:val="en-US"/>
        </w:rPr>
        <w:t xml:space="preserve">at times too </w:t>
      </w:r>
      <w:r w:rsidRPr="00362C40">
        <w:rPr>
          <w:rFonts w:ascii="Arial Narrow" w:hAnsi="Arial Narrow"/>
          <w:sz w:val="24"/>
          <w:szCs w:val="24"/>
        </w:rPr>
        <w:t>broad and result in penal sanctions that are disproportionate to the aim of preventing transmission</w:t>
      </w:r>
      <w:r>
        <w:rPr>
          <w:rFonts w:ascii="Arial Narrow" w:hAnsi="Arial Narrow"/>
          <w:sz w:val="24"/>
          <w:szCs w:val="24"/>
          <w:lang w:val="en-US"/>
        </w:rPr>
        <w:t>.</w:t>
      </w:r>
    </w:p>
    <w:p w:rsidR="00B713BC" w:rsidRPr="00910346" w:rsidP="00B05742" w14:paraId="52C39311" w14:textId="74E5C2F8">
      <w:pPr>
        <w:jc w:val="both"/>
        <w:rPr>
          <w:rFonts w:ascii="Arial Narrow" w:hAnsi="Arial Narrow"/>
          <w:sz w:val="24"/>
          <w:szCs w:val="24"/>
          <w:lang w:val="en-US"/>
        </w:rPr>
      </w:pPr>
      <w:r w:rsidRPr="00910346">
        <w:rPr>
          <w:rFonts w:ascii="Arial Narrow" w:hAnsi="Arial Narrow"/>
          <w:sz w:val="24"/>
          <w:szCs w:val="24"/>
          <w:lang w:val="en-US"/>
        </w:rPr>
        <w:t>To mention but a few.</w:t>
      </w:r>
    </w:p>
    <w:p w:rsidR="003C2352" w:rsidRPr="00910346" w:rsidP="006D0E0B" w14:paraId="739C163E" w14:textId="4BEF795F">
      <w:pPr>
        <w:pStyle w:val="ListParagraph"/>
        <w:numPr>
          <w:ilvl w:val="0"/>
          <w:numId w:val="4"/>
        </w:numPr>
        <w:jc w:val="both"/>
        <w:rPr>
          <w:rFonts w:ascii="Arial Narrow" w:hAnsi="Arial Narrow"/>
          <w:sz w:val="24"/>
          <w:szCs w:val="24"/>
        </w:rPr>
      </w:pPr>
      <w:r w:rsidRPr="00910346">
        <w:rPr>
          <w:rFonts w:ascii="Arial Narrow" w:hAnsi="Arial Narrow"/>
          <w:b/>
          <w:bCs/>
          <w:sz w:val="24"/>
          <w:szCs w:val="24"/>
        </w:rPr>
        <w:t>Reflecting on Progress</w:t>
      </w:r>
      <w:r w:rsidR="0033553D">
        <w:rPr>
          <w:rFonts w:ascii="Arial Narrow" w:hAnsi="Arial Narrow"/>
          <w:b/>
          <w:bCs/>
          <w:sz w:val="24"/>
          <w:szCs w:val="24"/>
          <w:lang w:val="en-US"/>
        </w:rPr>
        <w:t xml:space="preserve"> on the Right to Health</w:t>
      </w:r>
      <w:r w:rsidRPr="00910346" w:rsidR="007E6F44">
        <w:rPr>
          <w:rFonts w:ascii="Arial Narrow" w:hAnsi="Arial Narrow"/>
          <w:b/>
          <w:bCs/>
          <w:sz w:val="24"/>
          <w:szCs w:val="24"/>
          <w:lang w:val="en-US"/>
        </w:rPr>
        <w:t>.</w:t>
      </w:r>
    </w:p>
    <w:p w:rsidR="00900048" w:rsidRPr="00910346" w:rsidP="00B05742" w14:paraId="4ACD689D" w14:textId="027B6F72">
      <w:pPr>
        <w:jc w:val="both"/>
        <w:rPr>
          <w:rFonts w:ascii="Arial Narrow" w:hAnsi="Arial Narrow"/>
          <w:sz w:val="24"/>
          <w:szCs w:val="24"/>
          <w:lang w:val="en-US"/>
        </w:rPr>
      </w:pPr>
      <w:r w:rsidRPr="00910346">
        <w:rPr>
          <w:rFonts w:ascii="Arial Narrow" w:hAnsi="Arial Narrow"/>
          <w:sz w:val="24"/>
          <w:szCs w:val="24"/>
        </w:rPr>
        <w:t>As we celebrate, it is incumbent upon us to take stock of the progress made. Over the past two decades, we have witnessed legislative reforms, policy developments, and improved access to healthcare services. Communities that were once underserved have seen positive changes, and individuals have found hope in the protection of their rights. However, it is equally important to acknowledge the persistent challenges</w:t>
      </w:r>
      <w:r w:rsidRPr="00910346" w:rsidR="007E6F44">
        <w:rPr>
          <w:rFonts w:ascii="Arial Narrow" w:hAnsi="Arial Narrow"/>
          <w:sz w:val="24"/>
          <w:szCs w:val="24"/>
          <w:lang w:val="en-US"/>
        </w:rPr>
        <w:t xml:space="preserve"> relating to policy reform, litigation processes, </w:t>
      </w:r>
      <w:r w:rsidRPr="00910346" w:rsidR="005D7B1D">
        <w:rPr>
          <w:rFonts w:ascii="Arial Narrow" w:hAnsi="Arial Narrow"/>
          <w:sz w:val="24"/>
          <w:szCs w:val="24"/>
          <w:lang w:val="en-US"/>
        </w:rPr>
        <w:t xml:space="preserve">and </w:t>
      </w:r>
      <w:r w:rsidRPr="00910346" w:rsidR="007E6F44">
        <w:rPr>
          <w:rFonts w:ascii="Arial Narrow" w:hAnsi="Arial Narrow"/>
          <w:sz w:val="24"/>
          <w:szCs w:val="24"/>
          <w:lang w:val="en-US"/>
        </w:rPr>
        <w:t xml:space="preserve">the </w:t>
      </w:r>
      <w:r w:rsidRPr="00910346" w:rsidR="005D7B1D">
        <w:rPr>
          <w:rFonts w:ascii="Arial Narrow" w:hAnsi="Arial Narrow"/>
          <w:sz w:val="24"/>
          <w:szCs w:val="24"/>
          <w:lang w:val="en-US"/>
        </w:rPr>
        <w:t>priorities of the government in a developing country such as Uganda. R</w:t>
      </w:r>
      <w:r w:rsidRPr="00910346">
        <w:rPr>
          <w:rFonts w:ascii="Arial Narrow" w:hAnsi="Arial Narrow"/>
          <w:sz w:val="24"/>
          <w:szCs w:val="24"/>
        </w:rPr>
        <w:t>e</w:t>
      </w:r>
      <w:r w:rsidRPr="00910346" w:rsidR="005D7B1D">
        <w:rPr>
          <w:rFonts w:ascii="Arial Narrow" w:hAnsi="Arial Narrow"/>
          <w:sz w:val="24"/>
          <w:szCs w:val="24"/>
          <w:lang w:val="en-US"/>
        </w:rPr>
        <w:t xml:space="preserve">source </w:t>
      </w:r>
      <w:r w:rsidRPr="00910346">
        <w:rPr>
          <w:rFonts w:ascii="Arial Narrow" w:hAnsi="Arial Narrow"/>
          <w:sz w:val="24"/>
          <w:szCs w:val="24"/>
        </w:rPr>
        <w:t xml:space="preserve">constraints, disparities in access to healthcare, and emerging health threats </w:t>
      </w:r>
      <w:r w:rsidRPr="00910346" w:rsidR="005D7B1D">
        <w:rPr>
          <w:rFonts w:ascii="Arial Narrow" w:hAnsi="Arial Narrow"/>
          <w:sz w:val="24"/>
          <w:szCs w:val="24"/>
          <w:lang w:val="en-US"/>
        </w:rPr>
        <w:t xml:space="preserve">such as the </w:t>
      </w:r>
      <w:r w:rsidR="005A1CCD">
        <w:rPr>
          <w:rFonts w:ascii="Arial Narrow" w:hAnsi="Arial Narrow"/>
          <w:sz w:val="24"/>
          <w:szCs w:val="24"/>
          <w:lang w:val="en-US"/>
        </w:rPr>
        <w:t>COVID-19</w:t>
      </w:r>
      <w:r w:rsidRPr="00910346" w:rsidR="005D7B1D">
        <w:rPr>
          <w:rFonts w:ascii="Arial Narrow" w:hAnsi="Arial Narrow"/>
          <w:sz w:val="24"/>
          <w:szCs w:val="24"/>
          <w:lang w:val="en-US"/>
        </w:rPr>
        <w:t xml:space="preserve"> pandemic, the effects of Climate Change, and emerging technologies </w:t>
      </w:r>
      <w:r w:rsidRPr="00910346">
        <w:rPr>
          <w:rFonts w:ascii="Arial Narrow" w:hAnsi="Arial Narrow"/>
          <w:sz w:val="24"/>
          <w:szCs w:val="24"/>
        </w:rPr>
        <w:t>serve as reminders that our work is far from complete</w:t>
      </w:r>
      <w:r w:rsidRPr="00910346">
        <w:rPr>
          <w:rFonts w:ascii="Arial Narrow" w:hAnsi="Arial Narrow"/>
          <w:b/>
          <w:bCs/>
          <w:sz w:val="24"/>
          <w:szCs w:val="24"/>
          <w:lang w:val="en-US"/>
        </w:rPr>
        <w:t>.</w:t>
      </w:r>
      <w:r w:rsidRPr="00910346" w:rsidR="005D7B1D">
        <w:rPr>
          <w:rFonts w:ascii="Arial Narrow" w:hAnsi="Arial Narrow"/>
          <w:b/>
          <w:bCs/>
          <w:sz w:val="24"/>
          <w:szCs w:val="24"/>
          <w:lang w:val="en-US"/>
        </w:rPr>
        <w:t xml:space="preserve"> </w:t>
      </w:r>
    </w:p>
    <w:p w:rsidR="005D7B1D" w:rsidRPr="00910346" w:rsidP="00B05742" w14:paraId="03EFCED6" w14:textId="788BE4A1">
      <w:pPr>
        <w:jc w:val="both"/>
        <w:rPr>
          <w:rFonts w:ascii="Arial Narrow" w:hAnsi="Arial Narrow"/>
          <w:sz w:val="24"/>
          <w:szCs w:val="24"/>
          <w:lang w:val="en-US"/>
        </w:rPr>
      </w:pPr>
      <w:r w:rsidRPr="00910346">
        <w:rPr>
          <w:rFonts w:ascii="Arial Narrow" w:hAnsi="Arial Narrow"/>
          <w:sz w:val="24"/>
          <w:szCs w:val="24"/>
          <w:lang w:val="en-US"/>
        </w:rPr>
        <w:t>We must therefore be alert and prepared at all times. Continuous research and capacity building of individuals and organizations is crucial in ensuring preparedness and ensuring the sustainability of the advocacy work on the law and policy regulating health as a human right.</w:t>
      </w:r>
    </w:p>
    <w:p w:rsidR="003C2352" w:rsidRPr="00910346" w:rsidP="006D0E0B" w14:paraId="53F44DAF" w14:textId="37F004AF">
      <w:pPr>
        <w:pStyle w:val="ListParagraph"/>
        <w:numPr>
          <w:ilvl w:val="0"/>
          <w:numId w:val="4"/>
        </w:numPr>
        <w:jc w:val="both"/>
        <w:rPr>
          <w:rFonts w:ascii="Arial Narrow" w:hAnsi="Arial Narrow"/>
          <w:b/>
          <w:bCs/>
          <w:sz w:val="24"/>
          <w:szCs w:val="24"/>
        </w:rPr>
      </w:pPr>
      <w:r w:rsidRPr="00910346">
        <w:rPr>
          <w:rFonts w:ascii="Arial Narrow" w:hAnsi="Arial Narrow"/>
          <w:b/>
          <w:bCs/>
          <w:sz w:val="24"/>
          <w:szCs w:val="24"/>
        </w:rPr>
        <w:t>Charting a Course for the Future</w:t>
      </w:r>
    </w:p>
    <w:p w:rsidR="00900048" w:rsidRPr="00900048" w:rsidP="00900048" w14:paraId="37F39BBE" w14:textId="575A1ADB">
      <w:pPr>
        <w:jc w:val="both"/>
        <w:rPr>
          <w:rFonts w:ascii="Arial Narrow" w:hAnsi="Arial Narrow"/>
          <w:sz w:val="24"/>
          <w:szCs w:val="24"/>
        </w:rPr>
      </w:pPr>
      <w:r w:rsidRPr="00900048">
        <w:rPr>
          <w:rFonts w:ascii="Arial Narrow" w:hAnsi="Arial Narrow"/>
          <w:sz w:val="24"/>
          <w:szCs w:val="24"/>
        </w:rPr>
        <w:t xml:space="preserve">As we conclude this </w:t>
      </w:r>
      <w:r w:rsidRPr="00910346">
        <w:rPr>
          <w:rFonts w:ascii="Arial Narrow" w:hAnsi="Arial Narrow"/>
          <w:sz w:val="24"/>
          <w:szCs w:val="24"/>
          <w:lang w:val="en-US"/>
        </w:rPr>
        <w:t>celebration</w:t>
      </w:r>
      <w:r w:rsidRPr="00900048">
        <w:rPr>
          <w:rFonts w:ascii="Arial Narrow" w:hAnsi="Arial Narrow"/>
          <w:sz w:val="24"/>
          <w:szCs w:val="24"/>
        </w:rPr>
        <w:t>, let us look to the future with renewed commitment and vision. What lies ahead for Health Policy and the Law in Uganda? It is our collective responsibility to chart a visionary course</w:t>
      </w:r>
      <w:r w:rsidRPr="00910346">
        <w:rPr>
          <w:rFonts w:ascii="Arial Narrow" w:hAnsi="Arial Narrow"/>
          <w:sz w:val="24"/>
          <w:szCs w:val="24"/>
          <w:lang w:val="en-US"/>
        </w:rPr>
        <w:t xml:space="preserve">; </w:t>
      </w:r>
      <w:r w:rsidRPr="00900048">
        <w:rPr>
          <w:rFonts w:ascii="Arial Narrow" w:hAnsi="Arial Narrow"/>
          <w:sz w:val="24"/>
          <w:szCs w:val="24"/>
        </w:rPr>
        <w:t>one that ensures every Ugandan, regardless of their background or circumstances, enjoys access to quality healthcare.</w:t>
      </w:r>
    </w:p>
    <w:p w:rsidR="00900048" w:rsidRPr="00910346" w:rsidP="00900048" w14:paraId="51B4D94C" w14:textId="23949395">
      <w:pPr>
        <w:jc w:val="both"/>
        <w:rPr>
          <w:rFonts w:ascii="Arial Narrow" w:hAnsi="Arial Narrow"/>
          <w:sz w:val="24"/>
          <w:szCs w:val="24"/>
        </w:rPr>
      </w:pPr>
      <w:r>
        <w:rPr>
          <w:rFonts w:ascii="Arial Narrow" w:hAnsi="Arial Narrow"/>
          <w:sz w:val="24"/>
          <w:szCs w:val="24"/>
          <w:lang w:val="en-US"/>
        </w:rPr>
        <w:t>The</w:t>
      </w:r>
      <w:r w:rsidRPr="00910346">
        <w:rPr>
          <w:rFonts w:ascii="Arial Narrow" w:hAnsi="Arial Narrow"/>
          <w:sz w:val="24"/>
          <w:szCs w:val="24"/>
          <w:lang w:val="en-US"/>
        </w:rPr>
        <w:t xml:space="preserve"> journey leading up to the right to health in Uganda has</w:t>
      </w:r>
      <w:r w:rsidRPr="00900048">
        <w:rPr>
          <w:rFonts w:ascii="Arial Narrow" w:hAnsi="Arial Narrow"/>
          <w:sz w:val="24"/>
          <w:szCs w:val="24"/>
        </w:rPr>
        <w:t xml:space="preserve"> been one of</w:t>
      </w:r>
      <w:r w:rsidRPr="00910346">
        <w:rPr>
          <w:rFonts w:ascii="Arial Narrow" w:hAnsi="Arial Narrow"/>
          <w:sz w:val="24"/>
          <w:szCs w:val="24"/>
          <w:lang w:val="en-US"/>
        </w:rPr>
        <w:t xml:space="preserve"> creation,</w:t>
      </w:r>
      <w:r w:rsidRPr="00900048">
        <w:rPr>
          <w:rFonts w:ascii="Arial Narrow" w:hAnsi="Arial Narrow"/>
          <w:sz w:val="24"/>
          <w:szCs w:val="24"/>
        </w:rPr>
        <w:t xml:space="preserve"> transformation, dedication, </w:t>
      </w:r>
      <w:r>
        <w:rPr>
          <w:rFonts w:ascii="Arial Narrow" w:hAnsi="Arial Narrow"/>
          <w:sz w:val="24"/>
          <w:szCs w:val="24"/>
          <w:lang w:val="en-US"/>
        </w:rPr>
        <w:t>and</w:t>
      </w:r>
      <w:r w:rsidRPr="00900048">
        <w:rPr>
          <w:rFonts w:ascii="Arial Narrow" w:hAnsi="Arial Narrow"/>
          <w:sz w:val="24"/>
          <w:szCs w:val="24"/>
        </w:rPr>
        <w:t xml:space="preserve"> commitment</w:t>
      </w:r>
      <w:r w:rsidRPr="00910346">
        <w:rPr>
          <w:rFonts w:ascii="Arial Narrow" w:hAnsi="Arial Narrow"/>
          <w:sz w:val="24"/>
          <w:szCs w:val="24"/>
          <w:lang w:val="en-US"/>
        </w:rPr>
        <w:t xml:space="preserve"> to the struggle</w:t>
      </w:r>
      <w:r w:rsidRPr="00900048">
        <w:rPr>
          <w:rFonts w:ascii="Arial Narrow" w:hAnsi="Arial Narrow"/>
          <w:sz w:val="24"/>
          <w:szCs w:val="24"/>
        </w:rPr>
        <w:t xml:space="preserve">. It is a testament to the power of education and advocacy to effect meaningful change in our society. As we stand at the threshold of a future filled with possibilities, let us remember that our work is far from over. </w:t>
      </w:r>
      <w:r w:rsidRPr="00910346">
        <w:rPr>
          <w:rFonts w:ascii="Arial Narrow" w:hAnsi="Arial Narrow"/>
          <w:sz w:val="24"/>
          <w:szCs w:val="24"/>
          <w:lang w:val="en-US"/>
        </w:rPr>
        <w:t>The curtain may soon draw on the forefathers of this journey</w:t>
      </w:r>
      <w:r w:rsidRPr="00900048">
        <w:rPr>
          <w:rFonts w:ascii="Arial Narrow" w:hAnsi="Arial Narrow"/>
          <w:sz w:val="24"/>
          <w:szCs w:val="24"/>
        </w:rPr>
        <w:t xml:space="preserve">, </w:t>
      </w:r>
      <w:r w:rsidRPr="00910346">
        <w:rPr>
          <w:rFonts w:ascii="Arial Narrow" w:hAnsi="Arial Narrow"/>
          <w:sz w:val="24"/>
          <w:szCs w:val="24"/>
          <w:lang w:val="en-US"/>
        </w:rPr>
        <w:t>it is now up to the young generation to take up this mantle of shaping</w:t>
      </w:r>
      <w:r w:rsidRPr="00900048">
        <w:rPr>
          <w:rFonts w:ascii="Arial Narrow" w:hAnsi="Arial Narrow"/>
          <w:sz w:val="24"/>
          <w:szCs w:val="24"/>
        </w:rPr>
        <w:t xml:space="preserve"> a future where no one is left behind, and where justice prevails. </w:t>
      </w:r>
    </w:p>
    <w:p w:rsidR="00900048" w:rsidRPr="00900048" w:rsidP="00900048" w14:paraId="17AAA576" w14:textId="204CDF02">
      <w:pPr>
        <w:jc w:val="both"/>
        <w:rPr>
          <w:rFonts w:ascii="Arial Narrow" w:hAnsi="Arial Narrow"/>
          <w:sz w:val="24"/>
          <w:szCs w:val="24"/>
          <w:lang w:val="en-US"/>
        </w:rPr>
      </w:pPr>
      <w:r w:rsidRPr="00900048">
        <w:rPr>
          <w:rFonts w:ascii="Arial Narrow" w:hAnsi="Arial Narrow"/>
          <w:sz w:val="24"/>
          <w:szCs w:val="24"/>
        </w:rPr>
        <w:t>Thank you for your attention</w:t>
      </w:r>
      <w:r w:rsidRPr="00910346">
        <w:rPr>
          <w:rFonts w:ascii="Arial Narrow" w:hAnsi="Arial Narrow"/>
          <w:sz w:val="24"/>
          <w:szCs w:val="24"/>
          <w:lang w:val="en-US"/>
        </w:rPr>
        <w:t>.</w:t>
      </w:r>
    </w:p>
    <w:p w:rsidR="003C2352" w:rsidRPr="00910346" w:rsidP="00900048" w14:paraId="7DEA2B6F" w14:textId="79A7DDC4">
      <w:pPr>
        <w:jc w:val="both"/>
        <w:rPr>
          <w:rFonts w:ascii="Arial Narrow" w:hAnsi="Arial Narrow"/>
          <w:sz w:val="24"/>
          <w:szCs w:val="24"/>
          <w:lang w:val="en-US"/>
        </w:rPr>
      </w:pPr>
    </w:p>
    <w:sectPr w:rsidSect="00F21221">
      <w:headerReference w:type="default" r:id="rId7"/>
      <w:footerReference w:type="default" r:id="rId8"/>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0618574"/>
      <w:docPartObj>
        <w:docPartGallery w:val="Page Numbers (Bottom of Page)"/>
        <w:docPartUnique/>
      </w:docPartObj>
    </w:sdtPr>
    <w:sdtEndPr>
      <w:rPr>
        <w:noProof/>
      </w:rPr>
    </w:sdtEndPr>
    <w:sdtContent>
      <w:p w:rsidR="00F21221" w14:paraId="086A1C20" w14:textId="6F8957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D2E7C" w:rsidP="00DD2E7C" w14:paraId="3437BAAA" w14:textId="29D3D93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613BD" w:rsidP="00B713BC" w14:paraId="6C9533D9" w14:textId="77777777">
      <w:pPr>
        <w:spacing w:after="0" w:line="240" w:lineRule="auto"/>
      </w:pPr>
      <w:r>
        <w:separator/>
      </w:r>
    </w:p>
  </w:footnote>
  <w:footnote w:type="continuationSeparator" w:id="1">
    <w:p w:rsidR="00B613BD" w:rsidP="00B713BC" w14:paraId="2DA38F2A" w14:textId="77777777">
      <w:pPr>
        <w:spacing w:after="0" w:line="240" w:lineRule="auto"/>
      </w:pPr>
      <w:r>
        <w:continuationSeparator/>
      </w:r>
    </w:p>
  </w:footnote>
  <w:footnote w:id="2">
    <w:p w:rsidR="00A67563" w:rsidRPr="00F61ED9" w:rsidP="00910346" w14:paraId="1334E803" w14:textId="17D07436">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w:t>
      </w:r>
      <w:r w:rsidRPr="00F61ED9">
        <w:rPr>
          <w:rFonts w:ascii="Arial Narrow" w:hAnsi="Arial Narrow"/>
          <w:lang w:val="en-US"/>
        </w:rPr>
        <w:t>See the cases of C</w:t>
      </w:r>
      <w:r w:rsidRPr="005F107D">
        <w:rPr>
          <w:rFonts w:ascii="Arial Narrow" w:hAnsi="Arial Narrow"/>
        </w:rPr>
        <w:t xml:space="preserve">EHURD &amp; 3 </w:t>
      </w:r>
      <w:r w:rsidRPr="00F61ED9" w:rsidR="00D36CC8">
        <w:rPr>
          <w:rFonts w:ascii="Arial Narrow" w:hAnsi="Arial Narrow"/>
          <w:lang w:val="en-US"/>
        </w:rPr>
        <w:t>O</w:t>
      </w:r>
      <w:r w:rsidRPr="00F61ED9">
        <w:rPr>
          <w:rFonts w:ascii="Arial Narrow" w:hAnsi="Arial Narrow"/>
          <w:lang w:val="en-US"/>
        </w:rPr>
        <w:t>rs</w:t>
      </w:r>
      <w:r w:rsidRPr="005F107D">
        <w:rPr>
          <w:rFonts w:ascii="Arial Narrow" w:hAnsi="Arial Narrow"/>
        </w:rPr>
        <w:t xml:space="preserve"> vs </w:t>
      </w:r>
      <w:r w:rsidRPr="005F107D">
        <w:rPr>
          <w:rFonts w:ascii="Arial Narrow" w:hAnsi="Arial Narrow"/>
        </w:rPr>
        <w:t>Nakaseke</w:t>
      </w:r>
      <w:r w:rsidRPr="005F107D">
        <w:rPr>
          <w:rFonts w:ascii="Arial Narrow" w:hAnsi="Arial Narrow"/>
        </w:rPr>
        <w:t xml:space="preserve"> District Local Administration Civil Suit No. 111 of 2011 and CEHURD &amp; 2 ORS vs Attorney General Civil Suit No. 212 of 2013</w:t>
      </w:r>
      <w:r w:rsidRPr="00F61ED9">
        <w:rPr>
          <w:rFonts w:ascii="Arial Narrow" w:hAnsi="Arial Narrow"/>
          <w:lang w:val="en-US"/>
        </w:rPr>
        <w:t>;</w:t>
      </w:r>
      <w:r w:rsidRPr="005F107D">
        <w:rPr>
          <w:rFonts w:ascii="Arial Narrow" w:hAnsi="Arial Narrow"/>
        </w:rPr>
        <w:t> which discuss the right to health and medical negligence</w:t>
      </w:r>
    </w:p>
  </w:footnote>
  <w:footnote w:id="3">
    <w:p w:rsidR="007E0F1F" w:rsidRPr="00F61ED9" w:rsidP="00910346" w14:paraId="7C6F49BA" w14:textId="77777777">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w:t>
      </w:r>
      <w:r w:rsidRPr="00F61ED9">
        <w:rPr>
          <w:rFonts w:ascii="Arial Narrow" w:hAnsi="Arial Narrow"/>
          <w:lang w:val="en-US"/>
        </w:rPr>
        <w:t xml:space="preserve">Ruth A, (2019). Understanding Health and the Law in Uganda. </w:t>
      </w:r>
      <w:hyperlink r:id="rId1" w:history="1">
        <w:r w:rsidRPr="00F61ED9">
          <w:rPr>
            <w:rStyle w:val="Hyperlink"/>
            <w:rFonts w:ascii="Arial Narrow" w:hAnsi="Arial Narrow"/>
            <w:lang w:val="en-US"/>
          </w:rPr>
          <w:t>https://www.cehurd.org/understanding-health-and-the-law/</w:t>
        </w:r>
      </w:hyperlink>
      <w:r w:rsidRPr="00F61ED9">
        <w:rPr>
          <w:rFonts w:ascii="Arial Narrow" w:hAnsi="Arial Narrow"/>
          <w:lang w:val="en-US"/>
        </w:rPr>
        <w:t xml:space="preserve"> Accessed 21 September 2023</w:t>
      </w:r>
    </w:p>
  </w:footnote>
  <w:footnote w:id="4">
    <w:p w:rsidR="00F41E83" w:rsidRPr="00F61ED9" w:rsidP="00910346" w14:paraId="6DFCA5DE" w14:textId="0386129C">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w:t>
      </w:r>
      <w:r w:rsidRPr="00F61ED9">
        <w:rPr>
          <w:rFonts w:ascii="Arial Narrow" w:hAnsi="Arial Narrow"/>
          <w:lang w:val="en-US"/>
        </w:rPr>
        <w:t>Article 25</w:t>
      </w:r>
    </w:p>
  </w:footnote>
  <w:footnote w:id="5">
    <w:p w:rsidR="00C9457E" w:rsidRPr="00F61ED9" w:rsidP="00910346" w14:paraId="42AB2F81" w14:textId="78A3E7A7">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w:t>
      </w:r>
      <w:r w:rsidRPr="00F61ED9">
        <w:rPr>
          <w:rFonts w:ascii="Arial Narrow" w:hAnsi="Arial Narrow"/>
          <w:lang w:val="en-US"/>
        </w:rPr>
        <w:t>Article 12</w:t>
      </w:r>
    </w:p>
  </w:footnote>
  <w:footnote w:id="6">
    <w:p w:rsidR="00C9457E" w:rsidRPr="00F61ED9" w:rsidP="00910346" w14:paraId="444EBC46" w14:textId="09E7CEA0">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w:t>
      </w:r>
      <w:r w:rsidRPr="00F61ED9">
        <w:rPr>
          <w:rFonts w:ascii="Arial Narrow" w:hAnsi="Arial Narrow"/>
          <w:lang w:val="en-US"/>
        </w:rPr>
        <w:t>Article 12 (1) CEDAW</w:t>
      </w:r>
    </w:p>
  </w:footnote>
  <w:footnote w:id="7">
    <w:p w:rsidR="007825EE" w:rsidRPr="00F61ED9" w:rsidP="00910346" w14:paraId="23BFAD83" w14:textId="7F025905">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w:t>
      </w:r>
      <w:r w:rsidRPr="00F61ED9">
        <w:rPr>
          <w:rFonts w:ascii="Arial Narrow" w:hAnsi="Arial Narrow"/>
          <w:lang w:val="en-US"/>
        </w:rPr>
        <w:t>Article 16 (1) and (2)</w:t>
      </w:r>
      <w:r w:rsidRPr="00F61ED9" w:rsidR="00AB4C8C">
        <w:rPr>
          <w:rFonts w:ascii="Arial Narrow" w:hAnsi="Arial Narrow"/>
          <w:lang w:val="en-US"/>
        </w:rPr>
        <w:t xml:space="preserve"> ACHPR</w:t>
      </w:r>
    </w:p>
  </w:footnote>
  <w:footnote w:id="8">
    <w:p w:rsidR="004851DA" w:rsidRPr="00F61ED9" w:rsidP="00910346" w14:paraId="5CA11C53" w14:textId="6FFF578F">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w:t>
      </w:r>
      <w:r w:rsidRPr="00F61ED9">
        <w:rPr>
          <w:rFonts w:ascii="Arial Narrow" w:hAnsi="Arial Narrow"/>
          <w:lang w:val="en-US"/>
        </w:rPr>
        <w:t>Article 14 (1) Maputo Protocol</w:t>
      </w:r>
    </w:p>
  </w:footnote>
  <w:footnote w:id="9">
    <w:p w:rsidR="00AB4C8C" w:rsidRPr="00F61ED9" w:rsidP="00910346" w14:paraId="75A7A509" w14:textId="30EEA87B">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w:t>
      </w:r>
      <w:r w:rsidRPr="00F61ED9">
        <w:rPr>
          <w:rFonts w:ascii="Arial Narrow" w:hAnsi="Arial Narrow"/>
          <w:lang w:val="en-US"/>
        </w:rPr>
        <w:t>Articles 14(1) and (2) ACRWC</w:t>
      </w:r>
    </w:p>
  </w:footnote>
  <w:footnote w:id="10">
    <w:p w:rsidR="00F64F48" w:rsidRPr="00F61ED9" w:rsidP="00910346" w14:paraId="161D9070" w14:textId="7664AFED">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w:t>
      </w:r>
      <w:r w:rsidRPr="00F61ED9">
        <w:rPr>
          <w:rFonts w:ascii="Arial Narrow" w:hAnsi="Arial Narrow"/>
          <w:lang w:val="en-US"/>
        </w:rPr>
        <w:t xml:space="preserve">Ben K Twinomugisha, (2015). </w:t>
      </w:r>
      <w:r w:rsidRPr="00F61ED9">
        <w:rPr>
          <w:rFonts w:ascii="Arial Narrow" w:hAnsi="Arial Narrow"/>
        </w:rPr>
        <w:t xml:space="preserve">Fundamentals of </w:t>
      </w:r>
      <w:r w:rsidRPr="00F61ED9">
        <w:rPr>
          <w:rFonts w:ascii="Arial Narrow" w:hAnsi="Arial Narrow"/>
          <w:lang w:val="en-US"/>
        </w:rPr>
        <w:t>Health Law</w:t>
      </w:r>
      <w:r w:rsidRPr="00F61ED9">
        <w:rPr>
          <w:rFonts w:ascii="Arial Narrow" w:hAnsi="Arial Narrow"/>
        </w:rPr>
        <w:t xml:space="preserve"> in Uganda</w:t>
      </w:r>
      <w:r w:rsidRPr="00F61ED9">
        <w:rPr>
          <w:rFonts w:ascii="Arial Narrow" w:hAnsi="Arial Narrow"/>
          <w:lang w:val="en-US"/>
        </w:rPr>
        <w:t>.</w:t>
      </w:r>
      <w:r w:rsidRPr="00F61ED9">
        <w:rPr>
          <w:rFonts w:ascii="Arial Narrow" w:hAnsi="Arial Narrow"/>
        </w:rPr>
        <w:t xml:space="preserve"> Pretoria University Law</w:t>
      </w:r>
      <w:r w:rsidRPr="00F61ED9">
        <w:rPr>
          <w:rFonts w:ascii="Arial Narrow" w:hAnsi="Arial Narrow"/>
          <w:lang w:val="en-US"/>
        </w:rPr>
        <w:t xml:space="preserve"> </w:t>
      </w:r>
      <w:r w:rsidRPr="00F61ED9">
        <w:rPr>
          <w:rFonts w:ascii="Arial Narrow" w:hAnsi="Arial Narrow"/>
        </w:rPr>
        <w:t>Press (PULP)</w:t>
      </w:r>
      <w:r w:rsidRPr="00F61ED9">
        <w:rPr>
          <w:rFonts w:ascii="Arial Narrow" w:hAnsi="Arial Narrow"/>
          <w:lang w:val="en-US"/>
        </w:rPr>
        <w:t xml:space="preserve"> Pg 27</w:t>
      </w:r>
    </w:p>
  </w:footnote>
  <w:footnote w:id="11">
    <w:p w:rsidR="004065B9" w:rsidRPr="00F61ED9" w:rsidP="00910346" w14:paraId="47809E2D" w14:textId="4D872557">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w:t>
      </w:r>
      <w:r w:rsidRPr="00F61ED9">
        <w:rPr>
          <w:rFonts w:ascii="Arial Narrow" w:hAnsi="Arial Narrow"/>
          <w:lang w:val="en-US"/>
        </w:rPr>
        <w:t>Article 8A</w:t>
      </w:r>
    </w:p>
  </w:footnote>
  <w:footnote w:id="12">
    <w:p w:rsidR="00F61ED9" w:rsidRPr="00F61ED9" w:rsidP="00910346" w14:paraId="73C02B54" w14:textId="58515915">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w:t>
      </w:r>
      <w:r w:rsidRPr="00F61ED9">
        <w:rPr>
          <w:rFonts w:ascii="Arial Narrow" w:hAnsi="Arial Narrow"/>
          <w:lang w:val="en-US"/>
        </w:rPr>
        <w:t>Article 45</w:t>
      </w:r>
    </w:p>
  </w:footnote>
  <w:footnote w:id="13">
    <w:p w:rsidR="00252A6B" w:rsidRPr="00F61ED9" w:rsidP="00910346" w14:paraId="77204EFD" w14:textId="30C4221F">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w:t>
      </w:r>
      <w:r w:rsidRPr="00F61ED9">
        <w:rPr>
          <w:rFonts w:ascii="Arial Narrow" w:hAnsi="Arial Narrow"/>
          <w:lang w:val="en-US"/>
        </w:rPr>
        <w:t>Objective XIV of the NODPSP</w:t>
      </w:r>
    </w:p>
  </w:footnote>
  <w:footnote w:id="14">
    <w:p w:rsidR="00252A6B" w:rsidRPr="00F61ED9" w:rsidP="00910346" w14:paraId="6CD82C29" w14:textId="11763E35">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w:t>
      </w:r>
      <w:r w:rsidRPr="00F61ED9">
        <w:rPr>
          <w:rFonts w:ascii="Arial Narrow" w:hAnsi="Arial Narrow"/>
          <w:lang w:val="en-US"/>
        </w:rPr>
        <w:t>Objective XX of the NODPSP</w:t>
      </w:r>
    </w:p>
  </w:footnote>
  <w:footnote w:id="15">
    <w:p w:rsidR="00252A6B" w:rsidRPr="00F61ED9" w:rsidP="00910346" w14:paraId="55FAF7F0" w14:textId="44F4567C">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w:t>
      </w:r>
      <w:r w:rsidRPr="00F61ED9">
        <w:rPr>
          <w:rFonts w:ascii="Arial Narrow" w:hAnsi="Arial Narrow"/>
          <w:lang w:val="en-US"/>
        </w:rPr>
        <w:t>Objective XXI</w:t>
      </w:r>
    </w:p>
  </w:footnote>
  <w:footnote w:id="16">
    <w:p w:rsidR="00252A6B" w:rsidRPr="00F61ED9" w:rsidP="00910346" w14:paraId="523BDA8D" w14:textId="6DF78CD8">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w:t>
      </w:r>
      <w:r w:rsidRPr="00F61ED9">
        <w:rPr>
          <w:rFonts w:ascii="Arial Narrow" w:hAnsi="Arial Narrow"/>
          <w:lang w:val="en-US"/>
        </w:rPr>
        <w:t>Objective XXII (ii)</w:t>
      </w:r>
    </w:p>
  </w:footnote>
  <w:footnote w:id="17">
    <w:p w:rsidR="002361B9" w:rsidRPr="00F61ED9" w:rsidP="00910346" w14:paraId="616653E3" w14:textId="77777777">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Center For Health,</w:t>
      </w:r>
      <w:r w:rsidRPr="00F61ED9">
        <w:rPr>
          <w:rFonts w:ascii="Arial Narrow" w:hAnsi="Arial Narrow"/>
          <w:lang w:val="en-US"/>
        </w:rPr>
        <w:t xml:space="preserve"> </w:t>
      </w:r>
      <w:r w:rsidRPr="00F61ED9">
        <w:rPr>
          <w:rFonts w:ascii="Arial Narrow" w:hAnsi="Arial Narrow"/>
        </w:rPr>
        <w:t xml:space="preserve">Human Rights &amp; Development (CEHURD) &amp; </w:t>
      </w:r>
      <w:r w:rsidRPr="00F61ED9">
        <w:rPr>
          <w:rFonts w:ascii="Arial Narrow" w:hAnsi="Arial Narrow"/>
        </w:rPr>
        <w:t>Ors</w:t>
      </w:r>
      <w:r w:rsidRPr="00F61ED9">
        <w:rPr>
          <w:rFonts w:ascii="Arial Narrow" w:hAnsi="Arial Narrow"/>
        </w:rPr>
        <w:t xml:space="preserve"> v The Attorney General Constitutional Appeal No.01 Of 2013</w:t>
      </w:r>
    </w:p>
  </w:footnote>
  <w:footnote w:id="18">
    <w:p w:rsidR="00C56ECD" w:rsidRPr="00F61ED9" w:rsidP="00910346" w14:paraId="523B1790" w14:textId="0035F6CE">
      <w:pPr>
        <w:pStyle w:val="FootnoteText"/>
        <w:jc w:val="both"/>
        <w:rPr>
          <w:rFonts w:ascii="Arial Narrow" w:hAnsi="Arial Narrow"/>
          <w:lang w:val="en-US"/>
        </w:rPr>
      </w:pPr>
      <w:r w:rsidRPr="00F61ED9">
        <w:rPr>
          <w:rStyle w:val="FootnoteReference"/>
          <w:rFonts w:ascii="Arial Narrow" w:hAnsi="Arial Narrow"/>
        </w:rPr>
        <w:footnoteRef/>
      </w:r>
      <w:r w:rsidRPr="00F61ED9">
        <w:rPr>
          <w:rFonts w:ascii="Arial Narrow" w:hAnsi="Arial Narrow"/>
        </w:rPr>
        <w:t xml:space="preserve"> </w:t>
      </w:r>
      <w:r w:rsidRPr="00F61ED9">
        <w:rPr>
          <w:rFonts w:ascii="Arial Narrow" w:hAnsi="Arial Narrow"/>
          <w:lang w:val="en-US"/>
        </w:rPr>
        <w:t>See A/65/162, 2010. Report of the United Nations Special Rapporteur on the Right to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2E7C" w:rsidP="00DD2E7C" w14:paraId="2A19DC79" w14:textId="39A3A422">
    <w:pPr>
      <w:pStyle w:val="Header"/>
      <w:jc w:val="center"/>
    </w:pPr>
    <w:r w:rsidRPr="00DD76E0">
      <w:rPr>
        <w:rFonts w:ascii="Arial Narrow" w:eastAsia="Times New Roman" w:hAnsi="Arial Narrow"/>
        <w:b/>
        <w:noProof/>
        <w:sz w:val="24"/>
        <w:szCs w:val="24"/>
        <w:bdr w:val="none" w:sz="0" w:space="0" w:color="auto" w:frame="1"/>
      </w:rPr>
      <w:drawing>
        <wp:inline distT="0" distB="0" distL="0" distR="0">
          <wp:extent cx="1280160" cy="345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5164" cy="3575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E95024"/>
    <w:multiLevelType w:val="hybridMultilevel"/>
    <w:tmpl w:val="9000D0EE"/>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E929FD"/>
    <w:multiLevelType w:val="hybridMultilevel"/>
    <w:tmpl w:val="4AA05DAE"/>
    <w:lvl w:ilvl="0">
      <w:start w:val="20"/>
      <w:numFmt w:val="bullet"/>
      <w:lvlText w:val="-"/>
      <w:lvlJc w:val="left"/>
      <w:pPr>
        <w:ind w:left="720" w:hanging="360"/>
      </w:pPr>
      <w:rPr>
        <w:rFonts w:ascii="Arial Narrow" w:hAnsi="Arial Narrow" w:eastAsiaTheme="minorHAnsi" w:cstheme="minorBidi" w:hint="default"/>
        <w:b/>
        <w:bCs/>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B15B6C"/>
    <w:multiLevelType w:val="hybridMultilevel"/>
    <w:tmpl w:val="B68CC72E"/>
    <w:lvl w:ilvl="0">
      <w:start w:val="1"/>
      <w:numFmt w:val="lowerRoman"/>
      <w:lvlText w:val="%1)"/>
      <w:lvlJc w:val="left"/>
      <w:pPr>
        <w:ind w:left="1080" w:hanging="72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7B951E5"/>
    <w:multiLevelType w:val="hybridMultilevel"/>
    <w:tmpl w:val="A786460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38E0998"/>
    <w:multiLevelType w:val="hybridMultilevel"/>
    <w:tmpl w:val="336AC5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DF77641"/>
    <w:multiLevelType w:val="multilevel"/>
    <w:tmpl w:val="CAA2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341569">
    <w:abstractNumId w:val="5"/>
  </w:num>
  <w:num w:numId="2" w16cid:durableId="375158312">
    <w:abstractNumId w:val="1"/>
  </w:num>
  <w:num w:numId="3" w16cid:durableId="865369698">
    <w:abstractNumId w:val="2"/>
  </w:num>
  <w:num w:numId="4" w16cid:durableId="1534149483">
    <w:abstractNumId w:val="3"/>
  </w:num>
  <w:num w:numId="5" w16cid:durableId="1762019229">
    <w:abstractNumId w:val="4"/>
  </w:num>
  <w:num w:numId="6" w16cid:durableId="61370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52"/>
    <w:rsid w:val="00007AA2"/>
    <w:rsid w:val="00047BBB"/>
    <w:rsid w:val="0010730C"/>
    <w:rsid w:val="00120D6A"/>
    <w:rsid w:val="001300D2"/>
    <w:rsid w:val="00136E15"/>
    <w:rsid w:val="00144F8E"/>
    <w:rsid w:val="001530D4"/>
    <w:rsid w:val="001915F4"/>
    <w:rsid w:val="001F253E"/>
    <w:rsid w:val="002361B9"/>
    <w:rsid w:val="00250FDD"/>
    <w:rsid w:val="00252A6B"/>
    <w:rsid w:val="00293077"/>
    <w:rsid w:val="002C50CF"/>
    <w:rsid w:val="002D59E4"/>
    <w:rsid w:val="0030417E"/>
    <w:rsid w:val="00310E19"/>
    <w:rsid w:val="00314615"/>
    <w:rsid w:val="0033553D"/>
    <w:rsid w:val="00340C3F"/>
    <w:rsid w:val="003560D1"/>
    <w:rsid w:val="00362C40"/>
    <w:rsid w:val="00363BC4"/>
    <w:rsid w:val="003713D5"/>
    <w:rsid w:val="003A3B9C"/>
    <w:rsid w:val="003C2352"/>
    <w:rsid w:val="003C79C0"/>
    <w:rsid w:val="003D52E3"/>
    <w:rsid w:val="003F0E6E"/>
    <w:rsid w:val="004065B9"/>
    <w:rsid w:val="004154E7"/>
    <w:rsid w:val="0042318E"/>
    <w:rsid w:val="00433C72"/>
    <w:rsid w:val="004606F3"/>
    <w:rsid w:val="00474150"/>
    <w:rsid w:val="004851DA"/>
    <w:rsid w:val="0049017A"/>
    <w:rsid w:val="00495C02"/>
    <w:rsid w:val="004A2FFA"/>
    <w:rsid w:val="004C7518"/>
    <w:rsid w:val="00506656"/>
    <w:rsid w:val="00506B06"/>
    <w:rsid w:val="00531F0B"/>
    <w:rsid w:val="005443B3"/>
    <w:rsid w:val="00560466"/>
    <w:rsid w:val="00564EF7"/>
    <w:rsid w:val="00576B64"/>
    <w:rsid w:val="005A1CCD"/>
    <w:rsid w:val="005A1F7E"/>
    <w:rsid w:val="005B422A"/>
    <w:rsid w:val="005C38CD"/>
    <w:rsid w:val="005D7B1D"/>
    <w:rsid w:val="005F107D"/>
    <w:rsid w:val="0062247F"/>
    <w:rsid w:val="00656319"/>
    <w:rsid w:val="00686536"/>
    <w:rsid w:val="006933AE"/>
    <w:rsid w:val="00694101"/>
    <w:rsid w:val="006A0ECD"/>
    <w:rsid w:val="006D0E0B"/>
    <w:rsid w:val="006D70CD"/>
    <w:rsid w:val="006E4A13"/>
    <w:rsid w:val="00702A5C"/>
    <w:rsid w:val="00717C10"/>
    <w:rsid w:val="007243B2"/>
    <w:rsid w:val="00751573"/>
    <w:rsid w:val="00766F4A"/>
    <w:rsid w:val="007825EE"/>
    <w:rsid w:val="0078332A"/>
    <w:rsid w:val="00796ED2"/>
    <w:rsid w:val="00796EEE"/>
    <w:rsid w:val="00797D4B"/>
    <w:rsid w:val="007A453D"/>
    <w:rsid w:val="007B717C"/>
    <w:rsid w:val="007E0F1F"/>
    <w:rsid w:val="007E4597"/>
    <w:rsid w:val="007E6F44"/>
    <w:rsid w:val="00832375"/>
    <w:rsid w:val="008361D6"/>
    <w:rsid w:val="00847803"/>
    <w:rsid w:val="008575FE"/>
    <w:rsid w:val="00876EFE"/>
    <w:rsid w:val="0089231A"/>
    <w:rsid w:val="008A6C84"/>
    <w:rsid w:val="008C0615"/>
    <w:rsid w:val="00900048"/>
    <w:rsid w:val="00910346"/>
    <w:rsid w:val="00946B47"/>
    <w:rsid w:val="009A5AAC"/>
    <w:rsid w:val="009C067D"/>
    <w:rsid w:val="009D116D"/>
    <w:rsid w:val="009D1564"/>
    <w:rsid w:val="009E3B8E"/>
    <w:rsid w:val="009F27BE"/>
    <w:rsid w:val="00A476A1"/>
    <w:rsid w:val="00A518B6"/>
    <w:rsid w:val="00A57C25"/>
    <w:rsid w:val="00A67563"/>
    <w:rsid w:val="00AB4C8C"/>
    <w:rsid w:val="00AC571F"/>
    <w:rsid w:val="00AF258F"/>
    <w:rsid w:val="00B05742"/>
    <w:rsid w:val="00B157A1"/>
    <w:rsid w:val="00B418EE"/>
    <w:rsid w:val="00B613BD"/>
    <w:rsid w:val="00B713BC"/>
    <w:rsid w:val="00B95B9E"/>
    <w:rsid w:val="00BE78C4"/>
    <w:rsid w:val="00C50475"/>
    <w:rsid w:val="00C5535B"/>
    <w:rsid w:val="00C56ECD"/>
    <w:rsid w:val="00C60C53"/>
    <w:rsid w:val="00C63A18"/>
    <w:rsid w:val="00C641F3"/>
    <w:rsid w:val="00C75746"/>
    <w:rsid w:val="00C76ADF"/>
    <w:rsid w:val="00C80320"/>
    <w:rsid w:val="00C9457E"/>
    <w:rsid w:val="00CA4D55"/>
    <w:rsid w:val="00CB0B9E"/>
    <w:rsid w:val="00CB7B3B"/>
    <w:rsid w:val="00CC654B"/>
    <w:rsid w:val="00CD42ED"/>
    <w:rsid w:val="00CF2435"/>
    <w:rsid w:val="00CF2B8E"/>
    <w:rsid w:val="00CF725A"/>
    <w:rsid w:val="00D02D41"/>
    <w:rsid w:val="00D3617D"/>
    <w:rsid w:val="00D36CC8"/>
    <w:rsid w:val="00DD2E7C"/>
    <w:rsid w:val="00E327DE"/>
    <w:rsid w:val="00E34431"/>
    <w:rsid w:val="00E5704F"/>
    <w:rsid w:val="00E84C34"/>
    <w:rsid w:val="00EA1351"/>
    <w:rsid w:val="00EA3733"/>
    <w:rsid w:val="00EF252F"/>
    <w:rsid w:val="00F21221"/>
    <w:rsid w:val="00F30B8D"/>
    <w:rsid w:val="00F41E83"/>
    <w:rsid w:val="00F61ED9"/>
    <w:rsid w:val="00F64F48"/>
    <w:rsid w:val="00F804FA"/>
    <w:rsid w:val="00F81AE1"/>
    <w:rsid w:val="00FA3B80"/>
    <w:rsid w:val="00FA77F6"/>
    <w:rsid w:val="00FB133B"/>
    <w:rsid w:val="00FF3EDA"/>
  </w:rsids>
  <m:mathPr>
    <m:mathFont m:val="Cambria Math"/>
  </m:mathPr>
  <w:clrSchemeMapping w:bg1="light1" w:t1="dark1" w:bg2="light2" w:t2="dark2" w:accent1="accent1" w:accent2="accent2" w:accent3="accent3" w:accent4="accent4" w:accent5="accent5" w:accent6="accent6" w:hyperlink="hyperlink" w:followedHyperlink="followedHyperlink"/>
  <w14:docId w14:val="6A6B242A"/>
  <w15:chartTrackingRefBased/>
  <w15:docId w15:val="{BD1083DA-3DFD-4736-BCF8-32CBE101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13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3BC"/>
    <w:rPr>
      <w:sz w:val="20"/>
      <w:szCs w:val="20"/>
    </w:rPr>
  </w:style>
  <w:style w:type="character" w:styleId="FootnoteReference">
    <w:name w:val="footnote reference"/>
    <w:basedOn w:val="DefaultParagraphFont"/>
    <w:uiPriority w:val="99"/>
    <w:semiHidden/>
    <w:unhideWhenUsed/>
    <w:rsid w:val="00B713BC"/>
    <w:rPr>
      <w:vertAlign w:val="superscript"/>
    </w:rPr>
  </w:style>
  <w:style w:type="character" w:styleId="Hyperlink">
    <w:name w:val="Hyperlink"/>
    <w:basedOn w:val="DefaultParagraphFont"/>
    <w:uiPriority w:val="99"/>
    <w:unhideWhenUsed/>
    <w:rsid w:val="00656319"/>
    <w:rPr>
      <w:color w:val="0563C1" w:themeColor="hyperlink"/>
      <w:u w:val="single"/>
    </w:rPr>
  </w:style>
  <w:style w:type="character" w:styleId="UnresolvedMention">
    <w:name w:val="Unresolved Mention"/>
    <w:basedOn w:val="DefaultParagraphFont"/>
    <w:uiPriority w:val="99"/>
    <w:semiHidden/>
    <w:unhideWhenUsed/>
    <w:rsid w:val="00656319"/>
    <w:rPr>
      <w:color w:val="605E5C"/>
      <w:shd w:val="clear" w:color="auto" w:fill="E1DFDD"/>
    </w:rPr>
  </w:style>
  <w:style w:type="paragraph" w:styleId="NormalWeb">
    <w:name w:val="Normal (Web)"/>
    <w:basedOn w:val="Normal"/>
    <w:uiPriority w:val="99"/>
    <w:semiHidden/>
    <w:unhideWhenUsed/>
    <w:rsid w:val="00B05742"/>
    <w:rPr>
      <w:rFonts w:ascii="Times New Roman" w:hAnsi="Times New Roman" w:cs="Times New Roman"/>
      <w:sz w:val="24"/>
      <w:szCs w:val="24"/>
    </w:rPr>
  </w:style>
  <w:style w:type="paragraph" w:styleId="Header">
    <w:name w:val="header"/>
    <w:basedOn w:val="Normal"/>
    <w:link w:val="HeaderChar"/>
    <w:uiPriority w:val="99"/>
    <w:unhideWhenUsed/>
    <w:rsid w:val="00DD2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E7C"/>
  </w:style>
  <w:style w:type="paragraph" w:styleId="Footer">
    <w:name w:val="footer"/>
    <w:basedOn w:val="Normal"/>
    <w:link w:val="FooterChar"/>
    <w:uiPriority w:val="99"/>
    <w:unhideWhenUsed/>
    <w:rsid w:val="00DD2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E7C"/>
  </w:style>
  <w:style w:type="paragraph" w:styleId="ListParagraph">
    <w:name w:val="List Paragraph"/>
    <w:basedOn w:val="Normal"/>
    <w:uiPriority w:val="34"/>
    <w:qFormat/>
    <w:rsid w:val="00252A6B"/>
    <w:pPr>
      <w:ind w:left="720"/>
      <w:contextualSpacing/>
    </w:pPr>
  </w:style>
  <w:style w:type="character" w:styleId="FollowedHyperlink">
    <w:name w:val="FollowedHyperlink"/>
    <w:basedOn w:val="DefaultParagraphFont"/>
    <w:uiPriority w:val="99"/>
    <w:semiHidden/>
    <w:unhideWhenUsed/>
    <w:rsid w:val="007E0F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cehurd.org/publications/download-info/judgement-to-the-constitutional-petition-no-16-of-2011-maternal-health-case-decided-in-the-affirmativ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cehurd.org/understanding-health-and-the-law/"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33C6-70DB-4ED1-9033-AA56423D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3881</Words>
  <Characters>22127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Nimwesiga</dc:creator>
  <cp:lastModifiedBy>Seth Nimwesiga</cp:lastModifiedBy>
  <cp:revision>2</cp:revision>
  <dcterms:created xsi:type="dcterms:W3CDTF">2023-12-16T22:16:00Z</dcterms:created>
  <dcterms:modified xsi:type="dcterms:W3CDTF">2023-12-16T22:16:00Z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ded1681d-a95e-4f95-9635-000b17514769</vt:lpwstr>
  </property>
</Properties>
</file>